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7B0AA" w14:textId="77777777" w:rsidR="00F23542" w:rsidRDefault="00F23542" w:rsidP="003322CB">
      <w:pPr>
        <w:pStyle w:val="CommentText"/>
        <w:ind w:right="386"/>
        <w:jc w:val="both"/>
      </w:pPr>
    </w:p>
    <w:p w14:paraId="61E11C42" w14:textId="77777777" w:rsidR="00C51153" w:rsidRDefault="00C51153" w:rsidP="007C20F4">
      <w:pPr>
        <w:pStyle w:val="CommentText"/>
        <w:ind w:right="386" w:firstLine="540"/>
        <w:jc w:val="both"/>
      </w:pPr>
    </w:p>
    <w:p w14:paraId="1405FA28" w14:textId="77777777" w:rsidR="00C51153" w:rsidRDefault="00C51153" w:rsidP="007C20F4">
      <w:pPr>
        <w:pStyle w:val="CommentText"/>
        <w:ind w:right="386" w:firstLine="540"/>
        <w:jc w:val="both"/>
      </w:pPr>
    </w:p>
    <w:p w14:paraId="445A8368" w14:textId="77777777" w:rsidR="00C51153" w:rsidRDefault="00C51153" w:rsidP="007C20F4">
      <w:pPr>
        <w:pStyle w:val="CommentText"/>
        <w:ind w:right="386" w:firstLine="540"/>
        <w:jc w:val="both"/>
      </w:pPr>
    </w:p>
    <w:p w14:paraId="5F70136E" w14:textId="77777777" w:rsidR="00C51153" w:rsidRDefault="00C51153" w:rsidP="007C20F4">
      <w:pPr>
        <w:pStyle w:val="CommentText"/>
        <w:ind w:right="386" w:firstLine="540"/>
        <w:jc w:val="both"/>
      </w:pPr>
    </w:p>
    <w:p w14:paraId="69A65D51" w14:textId="77777777" w:rsidR="00F4367A" w:rsidRPr="00FC3A80" w:rsidRDefault="00C973D6" w:rsidP="007C20F4">
      <w:pPr>
        <w:pStyle w:val="CommentText"/>
        <w:ind w:right="386" w:firstLine="540"/>
        <w:jc w:val="both"/>
      </w:pPr>
      <w:r w:rsidRPr="00FC3A80">
        <w:rPr>
          <w:noProof/>
          <w:lang w:eastAsia="en-GB"/>
        </w:rPr>
        <mc:AlternateContent>
          <mc:Choice Requires="wps">
            <w:drawing>
              <wp:anchor distT="0" distB="0" distL="114300" distR="114300" simplePos="0" relativeHeight="251657728" behindDoc="0" locked="0" layoutInCell="1" allowOverlap="1" wp14:anchorId="36E84199" wp14:editId="07295A4F">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C6C83" w14:textId="77777777" w:rsidR="003B33E2" w:rsidRDefault="003B33E2">
                            <w:r>
                              <w:rPr>
                                <w:noProof/>
                                <w:lang w:eastAsia="en-GB"/>
                              </w:rPr>
                              <w:drawing>
                                <wp:inline distT="0" distB="0" distL="0" distR="0" wp14:anchorId="09EF6671" wp14:editId="4039B0AD">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14:paraId="5C6C6C83" w14:textId="77777777" w:rsidR="003B33E2" w:rsidRDefault="003B33E2">
                      <w:r>
                        <w:rPr>
                          <w:noProof/>
                          <w:lang w:eastAsia="en-GB"/>
                        </w:rPr>
                        <w:drawing>
                          <wp:inline distT="0" distB="0" distL="0" distR="0" wp14:anchorId="09EF6671" wp14:editId="4039B0AD">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14:paraId="2E56DE05" w14:textId="77777777" w:rsidR="00F4367A" w:rsidRPr="00FC3A80" w:rsidRDefault="00F4367A" w:rsidP="007C20F4">
      <w:pPr>
        <w:ind w:right="386" w:firstLine="540"/>
        <w:jc w:val="both"/>
        <w:rPr>
          <w:b/>
          <w:bCs/>
          <w:sz w:val="22"/>
          <w:szCs w:val="22"/>
        </w:rPr>
      </w:pPr>
    </w:p>
    <w:p w14:paraId="55902761" w14:textId="77777777" w:rsidR="00F4367A" w:rsidRPr="0097022F" w:rsidRDefault="00F4367A" w:rsidP="00942056">
      <w:pPr>
        <w:tabs>
          <w:tab w:val="left" w:pos="2160"/>
        </w:tabs>
        <w:ind w:right="386"/>
        <w:jc w:val="both"/>
        <w:rPr>
          <w:rFonts w:cs="Arial"/>
          <w:b/>
          <w:bCs/>
        </w:rPr>
      </w:pPr>
      <w:r w:rsidRPr="0097022F">
        <w:rPr>
          <w:rFonts w:cs="Arial"/>
          <w:b/>
          <w:bCs/>
        </w:rPr>
        <w:t xml:space="preserve">To: </w:t>
      </w:r>
      <w:r w:rsidR="00942056">
        <w:rPr>
          <w:rFonts w:cs="Arial"/>
          <w:b/>
          <w:bCs/>
        </w:rPr>
        <w:tab/>
      </w:r>
      <w:r w:rsidRPr="0097022F">
        <w:rPr>
          <w:rFonts w:cs="Arial"/>
          <w:b/>
          <w:bCs/>
        </w:rPr>
        <w:t>City Executive Board</w:t>
      </w:r>
      <w:r w:rsidRPr="0097022F">
        <w:rPr>
          <w:rFonts w:cs="Arial"/>
          <w:b/>
          <w:bCs/>
        </w:rPr>
        <w:tab/>
      </w:r>
      <w:r w:rsidR="00956EB9" w:rsidRPr="0097022F">
        <w:rPr>
          <w:rFonts w:cs="Arial"/>
          <w:b/>
          <w:bCs/>
        </w:rPr>
        <w:t xml:space="preserve"> </w:t>
      </w:r>
      <w:r w:rsidRPr="0097022F">
        <w:rPr>
          <w:rFonts w:cs="Arial"/>
          <w:b/>
          <w:bCs/>
        </w:rPr>
        <w:tab/>
      </w:r>
      <w:r w:rsidRPr="0097022F">
        <w:rPr>
          <w:rFonts w:cs="Arial"/>
          <w:b/>
          <w:bCs/>
        </w:rPr>
        <w:tab/>
      </w:r>
      <w:r w:rsidRPr="0097022F">
        <w:rPr>
          <w:rFonts w:cs="Arial"/>
          <w:b/>
          <w:bCs/>
        </w:rPr>
        <w:tab/>
      </w:r>
    </w:p>
    <w:p w14:paraId="16438B9C" w14:textId="77777777" w:rsidR="00F4367A" w:rsidRPr="0097022F" w:rsidRDefault="00F4367A" w:rsidP="00942056">
      <w:pPr>
        <w:ind w:right="386"/>
        <w:jc w:val="both"/>
        <w:rPr>
          <w:rFonts w:cs="Arial"/>
          <w:b/>
          <w:bCs/>
        </w:rPr>
      </w:pPr>
    </w:p>
    <w:p w14:paraId="2A244B4D" w14:textId="37EE19A5" w:rsidR="00F4367A" w:rsidRPr="0097022F" w:rsidRDefault="00F4367A" w:rsidP="003B33E2">
      <w:pPr>
        <w:tabs>
          <w:tab w:val="left" w:pos="2127"/>
          <w:tab w:val="left" w:pos="6300"/>
          <w:tab w:val="left" w:pos="7380"/>
        </w:tabs>
        <w:ind w:right="386"/>
        <w:jc w:val="both"/>
        <w:rPr>
          <w:rFonts w:cs="Arial"/>
          <w:b/>
          <w:bCs/>
        </w:rPr>
      </w:pPr>
      <w:r w:rsidRPr="0097022F">
        <w:rPr>
          <w:rFonts w:cs="Arial"/>
          <w:b/>
          <w:bCs/>
        </w:rPr>
        <w:t>Date:</w:t>
      </w:r>
      <w:r w:rsidRPr="0097022F">
        <w:rPr>
          <w:rFonts w:cs="Arial"/>
          <w:b/>
          <w:bCs/>
        </w:rPr>
        <w:tab/>
      </w:r>
      <w:r w:rsidR="00A22A47">
        <w:rPr>
          <w:rFonts w:cs="Arial"/>
          <w:b/>
          <w:bCs/>
        </w:rPr>
        <w:t>20</w:t>
      </w:r>
      <w:r w:rsidR="00FB14CD" w:rsidRPr="0097022F">
        <w:rPr>
          <w:rFonts w:cs="Arial"/>
          <w:b/>
          <w:bCs/>
        </w:rPr>
        <w:t xml:space="preserve"> December 201</w:t>
      </w:r>
      <w:r w:rsidR="00A22A47">
        <w:rPr>
          <w:rFonts w:cs="Arial"/>
          <w:b/>
          <w:bCs/>
        </w:rPr>
        <w:t>7</w:t>
      </w:r>
      <w:r w:rsidRPr="0097022F">
        <w:rPr>
          <w:rFonts w:cs="Arial"/>
          <w:b/>
          <w:bCs/>
        </w:rPr>
        <w:tab/>
      </w:r>
    </w:p>
    <w:p w14:paraId="4D6995D9" w14:textId="77777777" w:rsidR="00F4367A" w:rsidRPr="0097022F" w:rsidRDefault="00F4367A" w:rsidP="00942056">
      <w:pPr>
        <w:ind w:right="386"/>
        <w:jc w:val="both"/>
        <w:rPr>
          <w:rFonts w:cs="Arial"/>
          <w:b/>
          <w:bCs/>
        </w:rPr>
      </w:pPr>
    </w:p>
    <w:p w14:paraId="66A68D9B" w14:textId="77777777" w:rsidR="00F4367A" w:rsidRPr="0097022F" w:rsidRDefault="00F4367A" w:rsidP="00942056">
      <w:pPr>
        <w:ind w:right="386"/>
        <w:jc w:val="both"/>
        <w:rPr>
          <w:rFonts w:cs="Arial"/>
          <w:b/>
          <w:bCs/>
        </w:rPr>
      </w:pPr>
      <w:r w:rsidRPr="0097022F">
        <w:rPr>
          <w:rFonts w:cs="Arial"/>
          <w:b/>
          <w:bCs/>
        </w:rPr>
        <w:t>Report of:</w:t>
      </w:r>
      <w:r w:rsidRPr="0097022F">
        <w:rPr>
          <w:rFonts w:cs="Arial"/>
          <w:b/>
          <w:bCs/>
        </w:rPr>
        <w:tab/>
      </w:r>
      <w:r w:rsidR="00F06FC6">
        <w:rPr>
          <w:rFonts w:cs="Arial"/>
          <w:b/>
          <w:bCs/>
        </w:rPr>
        <w:tab/>
      </w:r>
      <w:r w:rsidR="005501CA">
        <w:rPr>
          <w:rFonts w:cs="Arial"/>
          <w:b/>
          <w:bCs/>
        </w:rPr>
        <w:t xml:space="preserve">Head of Financial </w:t>
      </w:r>
      <w:r w:rsidR="009106CA">
        <w:rPr>
          <w:rFonts w:cs="Arial"/>
          <w:b/>
          <w:bCs/>
        </w:rPr>
        <w:t>Services</w:t>
      </w:r>
    </w:p>
    <w:p w14:paraId="1E93631B" w14:textId="77777777" w:rsidR="00F4367A" w:rsidRPr="0097022F" w:rsidRDefault="00F4367A" w:rsidP="00942056">
      <w:pPr>
        <w:tabs>
          <w:tab w:val="left" w:pos="2160"/>
        </w:tabs>
        <w:ind w:right="386"/>
        <w:jc w:val="both"/>
        <w:rPr>
          <w:rFonts w:cs="Arial"/>
          <w:b/>
          <w:bCs/>
        </w:rPr>
      </w:pPr>
    </w:p>
    <w:p w14:paraId="174DB696" w14:textId="77777777" w:rsidR="00F4367A" w:rsidRPr="0097022F" w:rsidRDefault="00F4367A" w:rsidP="00942056">
      <w:pPr>
        <w:tabs>
          <w:tab w:val="left" w:pos="2160"/>
        </w:tabs>
        <w:ind w:left="2127" w:right="386" w:hanging="2127"/>
        <w:jc w:val="both"/>
        <w:rPr>
          <w:rFonts w:cs="Arial"/>
          <w:b/>
          <w:bCs/>
        </w:rPr>
      </w:pPr>
      <w:r w:rsidRPr="0097022F">
        <w:rPr>
          <w:rFonts w:cs="Arial"/>
          <w:b/>
          <w:bCs/>
        </w:rPr>
        <w:t xml:space="preserve">Title of Report: </w:t>
      </w:r>
      <w:r w:rsidRPr="0097022F">
        <w:rPr>
          <w:rFonts w:cs="Arial"/>
          <w:b/>
          <w:bCs/>
        </w:rPr>
        <w:tab/>
      </w:r>
      <w:r w:rsidR="00E0139B" w:rsidRPr="0097022F">
        <w:rPr>
          <w:rFonts w:cs="Arial"/>
          <w:b/>
          <w:bCs/>
        </w:rPr>
        <w:t xml:space="preserve">Medium Term Financial Strategy </w:t>
      </w:r>
      <w:r w:rsidR="00E9541D" w:rsidRPr="0097022F">
        <w:rPr>
          <w:rFonts w:cs="Arial"/>
          <w:b/>
          <w:bCs/>
        </w:rPr>
        <w:t>201</w:t>
      </w:r>
      <w:r w:rsidR="00A22A47">
        <w:rPr>
          <w:rFonts w:cs="Arial"/>
          <w:b/>
          <w:bCs/>
        </w:rPr>
        <w:t>9</w:t>
      </w:r>
      <w:r w:rsidR="00DB1309">
        <w:rPr>
          <w:rFonts w:cs="Arial"/>
          <w:b/>
          <w:bCs/>
        </w:rPr>
        <w:t>-</w:t>
      </w:r>
      <w:r w:rsidR="00A22A47">
        <w:rPr>
          <w:rFonts w:cs="Arial"/>
          <w:b/>
          <w:bCs/>
        </w:rPr>
        <w:t>20</w:t>
      </w:r>
      <w:r w:rsidR="00E9541D" w:rsidRPr="0097022F">
        <w:rPr>
          <w:rFonts w:cs="Arial"/>
          <w:b/>
          <w:bCs/>
        </w:rPr>
        <w:t xml:space="preserve"> </w:t>
      </w:r>
      <w:r w:rsidR="00C37395">
        <w:rPr>
          <w:rFonts w:cs="Arial"/>
          <w:b/>
          <w:bCs/>
        </w:rPr>
        <w:t>to 202</w:t>
      </w:r>
      <w:r w:rsidR="00A22A47">
        <w:rPr>
          <w:rFonts w:cs="Arial"/>
          <w:b/>
          <w:bCs/>
        </w:rPr>
        <w:t>1</w:t>
      </w:r>
      <w:r w:rsidR="00ED6871">
        <w:rPr>
          <w:rFonts w:cs="Arial"/>
          <w:b/>
          <w:bCs/>
        </w:rPr>
        <w:t>-</w:t>
      </w:r>
      <w:r w:rsidR="00C37395">
        <w:rPr>
          <w:rFonts w:cs="Arial"/>
          <w:b/>
          <w:bCs/>
        </w:rPr>
        <w:t>2</w:t>
      </w:r>
      <w:r w:rsidR="00A22A47">
        <w:rPr>
          <w:rFonts w:cs="Arial"/>
          <w:b/>
          <w:bCs/>
        </w:rPr>
        <w:t xml:space="preserve">2 </w:t>
      </w:r>
      <w:r w:rsidR="00E0139B" w:rsidRPr="0097022F">
        <w:rPr>
          <w:rFonts w:cs="Arial"/>
          <w:b/>
          <w:bCs/>
        </w:rPr>
        <w:t xml:space="preserve">and </w:t>
      </w:r>
      <w:r w:rsidR="00E9541D" w:rsidRPr="0097022F">
        <w:rPr>
          <w:rFonts w:cs="Arial"/>
          <w:b/>
          <w:bCs/>
        </w:rPr>
        <w:t>201</w:t>
      </w:r>
      <w:r w:rsidR="00A22A47">
        <w:rPr>
          <w:rFonts w:cs="Arial"/>
          <w:b/>
          <w:bCs/>
        </w:rPr>
        <w:t>8</w:t>
      </w:r>
      <w:r w:rsidR="00E9541D" w:rsidRPr="0097022F">
        <w:rPr>
          <w:rFonts w:cs="Arial"/>
          <w:b/>
          <w:bCs/>
        </w:rPr>
        <w:t>-1</w:t>
      </w:r>
      <w:r w:rsidR="00A22A47">
        <w:rPr>
          <w:rFonts w:cs="Arial"/>
          <w:b/>
          <w:bCs/>
        </w:rPr>
        <w:t>9</w:t>
      </w:r>
      <w:r w:rsidR="00E9541D" w:rsidRPr="0097022F">
        <w:rPr>
          <w:rFonts w:cs="Arial"/>
          <w:b/>
          <w:bCs/>
        </w:rPr>
        <w:t xml:space="preserve"> </w:t>
      </w:r>
      <w:r w:rsidR="00E0139B" w:rsidRPr="0097022F">
        <w:rPr>
          <w:rFonts w:cs="Arial"/>
          <w:b/>
          <w:bCs/>
        </w:rPr>
        <w:t xml:space="preserve">Budget for </w:t>
      </w:r>
      <w:r w:rsidR="00AA3E93" w:rsidRPr="0097022F">
        <w:rPr>
          <w:rFonts w:cs="Arial"/>
          <w:b/>
          <w:bCs/>
        </w:rPr>
        <w:t>Consultation</w:t>
      </w:r>
      <w:r w:rsidR="00FD0234">
        <w:rPr>
          <w:rFonts w:cs="Arial"/>
          <w:b/>
          <w:bCs/>
        </w:rPr>
        <w:t>.</w:t>
      </w:r>
      <w:r w:rsidRPr="0097022F">
        <w:rPr>
          <w:rFonts w:cs="Arial"/>
          <w:b/>
          <w:bCs/>
        </w:rPr>
        <w:tab/>
      </w:r>
    </w:p>
    <w:p w14:paraId="1B625FAD" w14:textId="77777777" w:rsidR="00F4367A" w:rsidRPr="00FC3A80" w:rsidRDefault="00F4367A" w:rsidP="003A37E1">
      <w:pPr>
        <w:pStyle w:val="Heading1"/>
        <w:ind w:right="386" w:firstLine="540"/>
        <w:jc w:val="both"/>
        <w:rPr>
          <w:sz w:val="22"/>
          <w:szCs w:val="22"/>
          <w:u w:val="single"/>
        </w:rPr>
      </w:pPr>
    </w:p>
    <w:p w14:paraId="27FD38C1"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center"/>
        <w:rPr>
          <w:u w:val="single"/>
        </w:rPr>
      </w:pPr>
      <w:r w:rsidRPr="0097022F">
        <w:rPr>
          <w:u w:val="single"/>
        </w:rPr>
        <w:t>Summary and Recommendations</w:t>
      </w:r>
    </w:p>
    <w:p w14:paraId="387713D6"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4B40DCC5"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r w:rsidRPr="0097022F">
        <w:rPr>
          <w:rFonts w:cs="Arial"/>
          <w:b/>
          <w:bCs/>
        </w:rPr>
        <w:t>Purpose of report</w:t>
      </w:r>
      <w:r w:rsidRPr="0097022F">
        <w:rPr>
          <w:rFonts w:cs="Arial"/>
        </w:rPr>
        <w:t xml:space="preserve">:  </w:t>
      </w:r>
      <w:r w:rsidR="00792A7B">
        <w:rPr>
          <w:rFonts w:cs="Arial"/>
        </w:rPr>
        <w:t>To propose a Medium Term Financial Strategy and</w:t>
      </w:r>
      <w:r w:rsidR="00942056">
        <w:rPr>
          <w:rFonts w:cs="Arial"/>
        </w:rPr>
        <w:t xml:space="preserve"> </w:t>
      </w:r>
      <w:r w:rsidR="00556EE7">
        <w:rPr>
          <w:rFonts w:cs="Arial"/>
        </w:rPr>
        <w:t>the</w:t>
      </w:r>
      <w:r w:rsidR="00166E93">
        <w:rPr>
          <w:rFonts w:cs="Arial"/>
        </w:rPr>
        <w:t xml:space="preserve"> </w:t>
      </w:r>
      <w:r w:rsidR="00DB1309">
        <w:rPr>
          <w:rFonts w:cs="Arial"/>
        </w:rPr>
        <w:t>201</w:t>
      </w:r>
      <w:r w:rsidR="00A22A47">
        <w:rPr>
          <w:rFonts w:cs="Arial"/>
        </w:rPr>
        <w:t>8</w:t>
      </w:r>
      <w:r w:rsidR="00792A7B">
        <w:rPr>
          <w:rFonts w:cs="Arial"/>
        </w:rPr>
        <w:t>/1</w:t>
      </w:r>
      <w:r w:rsidR="00A22A47">
        <w:rPr>
          <w:rFonts w:cs="Arial"/>
        </w:rPr>
        <w:t>9</w:t>
      </w:r>
      <w:r w:rsidR="00792A7B">
        <w:rPr>
          <w:rFonts w:cs="Arial"/>
        </w:rPr>
        <w:t xml:space="preserve"> Budget for consultation</w:t>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p>
    <w:p w14:paraId="12625E37" w14:textId="77777777" w:rsidR="00166E93" w:rsidRDefault="00166E93"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Cs w:val="0"/>
        </w:rPr>
      </w:pPr>
    </w:p>
    <w:p w14:paraId="62C525FE" w14:textId="4D652D84" w:rsidR="00F4367A" w:rsidRPr="0097022F" w:rsidRDefault="00F4367A"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 w:val="0"/>
          <w:bCs w:val="0"/>
        </w:rPr>
      </w:pPr>
      <w:r w:rsidRPr="0097022F">
        <w:rPr>
          <w:bCs w:val="0"/>
        </w:rPr>
        <w:t xml:space="preserve">Key decision </w:t>
      </w:r>
      <w:r w:rsidR="003771FD" w:rsidRPr="0097022F">
        <w:rPr>
          <w:b w:val="0"/>
          <w:bCs w:val="0"/>
        </w:rPr>
        <w:t>Yes</w:t>
      </w:r>
    </w:p>
    <w:p w14:paraId="404F5C16"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3F8C9787" w14:textId="122C6D2E"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Executive lead member: </w:t>
      </w:r>
      <w:r w:rsidR="00E0139B" w:rsidRPr="0097022F">
        <w:rPr>
          <w:rFonts w:cs="Arial"/>
          <w:bCs/>
        </w:rPr>
        <w:t>Councillor Ed Turner</w:t>
      </w:r>
      <w:r w:rsidR="003B33E2">
        <w:rPr>
          <w:rFonts w:cs="Arial"/>
          <w:bCs/>
        </w:rPr>
        <w:t>, Finance and Asset Management</w:t>
      </w:r>
    </w:p>
    <w:p w14:paraId="0F9DE03A"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36AFBDCE"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Policy Framework: </w:t>
      </w:r>
      <w:r w:rsidR="00E0139B" w:rsidRPr="0097022F">
        <w:rPr>
          <w:rFonts w:cs="Arial"/>
          <w:bCs/>
        </w:rPr>
        <w:t>The Council’s Corporate Plan</w:t>
      </w:r>
    </w:p>
    <w:p w14:paraId="0F114C2D"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25A400A3" w14:textId="77777777" w:rsidR="00B34AEA" w:rsidRDefault="00F4367A"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b/>
        </w:rPr>
      </w:pPr>
      <w:r w:rsidRPr="0097022F">
        <w:rPr>
          <w:rFonts w:cs="Arial"/>
          <w:b/>
        </w:rPr>
        <w:t xml:space="preserve">Recommendation(s): </w:t>
      </w:r>
      <w:r w:rsidR="00CD3973">
        <w:rPr>
          <w:rFonts w:cs="Arial"/>
          <w:b/>
        </w:rPr>
        <w:t xml:space="preserve">The City Executive Board </w:t>
      </w:r>
      <w:r w:rsidR="00D424CA">
        <w:rPr>
          <w:rFonts w:cs="Arial"/>
          <w:b/>
        </w:rPr>
        <w:t>is</w:t>
      </w:r>
      <w:r w:rsidR="00CD3973">
        <w:rPr>
          <w:rFonts w:cs="Arial"/>
          <w:b/>
        </w:rPr>
        <w:t xml:space="preserve"> recommended to</w:t>
      </w:r>
      <w:r w:rsidR="00694162">
        <w:rPr>
          <w:rFonts w:cs="Arial"/>
          <w:b/>
        </w:rPr>
        <w:t>:</w:t>
      </w:r>
    </w:p>
    <w:p w14:paraId="1FB94016" w14:textId="77777777" w:rsidR="00694162" w:rsidRDefault="00694162"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b/>
        </w:rPr>
      </w:pPr>
    </w:p>
    <w:p w14:paraId="20DC61CA" w14:textId="77777777" w:rsidR="00942056" w:rsidRPr="00A71F9E" w:rsidRDefault="00A71F9E" w:rsidP="003F4A26">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sidRPr="007B3F5D">
        <w:rPr>
          <w:rFonts w:cs="Arial"/>
        </w:rPr>
        <w:t>1</w:t>
      </w:r>
      <w:r w:rsidR="00942056" w:rsidRPr="007B3F5D">
        <w:rPr>
          <w:rFonts w:cs="Arial"/>
        </w:rPr>
        <w:t>)</w:t>
      </w:r>
      <w:r w:rsidR="00942056">
        <w:rPr>
          <w:rFonts w:cs="Arial"/>
          <w:b/>
        </w:rPr>
        <w:t xml:space="preserve"> </w:t>
      </w:r>
      <w:r w:rsidR="003F4A26">
        <w:rPr>
          <w:rFonts w:cs="Arial"/>
          <w:b/>
        </w:rPr>
        <w:tab/>
      </w:r>
      <w:r w:rsidR="008E2808" w:rsidRPr="007B3F5D">
        <w:rPr>
          <w:rFonts w:cs="Arial"/>
        </w:rPr>
        <w:t>A</w:t>
      </w:r>
      <w:r w:rsidR="00942056" w:rsidRPr="00A71F9E">
        <w:rPr>
          <w:rFonts w:cs="Arial"/>
        </w:rPr>
        <w:t xml:space="preserve">pprove the </w:t>
      </w:r>
      <w:r w:rsidR="00DB1309">
        <w:rPr>
          <w:rFonts w:cs="Arial"/>
        </w:rPr>
        <w:t>201</w:t>
      </w:r>
      <w:r w:rsidR="00A22A47">
        <w:rPr>
          <w:rFonts w:cs="Arial"/>
        </w:rPr>
        <w:t>8</w:t>
      </w:r>
      <w:r w:rsidR="00DB1309">
        <w:rPr>
          <w:rFonts w:cs="Arial"/>
        </w:rPr>
        <w:t>-1</w:t>
      </w:r>
      <w:r w:rsidR="00A22A47">
        <w:rPr>
          <w:rFonts w:cs="Arial"/>
        </w:rPr>
        <w:t>9</w:t>
      </w:r>
      <w:r w:rsidRPr="00A71F9E">
        <w:rPr>
          <w:rFonts w:cs="Arial"/>
        </w:rPr>
        <w:t xml:space="preserve"> </w:t>
      </w:r>
      <w:r w:rsidR="000D3814">
        <w:rPr>
          <w:rFonts w:cs="Arial"/>
        </w:rPr>
        <w:t xml:space="preserve">General Fund and Housing Revenue Account </w:t>
      </w:r>
      <w:r w:rsidRPr="00A71F9E">
        <w:rPr>
          <w:rFonts w:cs="Arial"/>
        </w:rPr>
        <w:t>budget</w:t>
      </w:r>
      <w:r w:rsidR="000D3814">
        <w:rPr>
          <w:rFonts w:cs="Arial"/>
        </w:rPr>
        <w:t>s</w:t>
      </w:r>
      <w:r w:rsidRPr="00A71F9E">
        <w:rPr>
          <w:rFonts w:cs="Arial"/>
        </w:rPr>
        <w:t xml:space="preserve"> for consultation</w:t>
      </w:r>
      <w:r w:rsidR="003B293A">
        <w:rPr>
          <w:rFonts w:cs="Arial"/>
        </w:rPr>
        <w:t xml:space="preserve"> and</w:t>
      </w:r>
      <w:r w:rsidRPr="00A71F9E">
        <w:rPr>
          <w:rFonts w:cs="Arial"/>
        </w:rPr>
        <w:t xml:space="preserve"> the </w:t>
      </w:r>
      <w:r w:rsidR="00942056" w:rsidRPr="00A71F9E">
        <w:rPr>
          <w:rFonts w:cs="Arial"/>
        </w:rPr>
        <w:t xml:space="preserve">General Fund and </w:t>
      </w:r>
      <w:r w:rsidR="00694162">
        <w:rPr>
          <w:rFonts w:cs="Arial"/>
        </w:rPr>
        <w:t xml:space="preserve"> </w:t>
      </w:r>
      <w:r w:rsidR="00942056" w:rsidRPr="00A71F9E">
        <w:rPr>
          <w:rFonts w:cs="Arial"/>
        </w:rPr>
        <w:t>H</w:t>
      </w:r>
      <w:r w:rsidR="00694162">
        <w:rPr>
          <w:rFonts w:cs="Arial"/>
        </w:rPr>
        <w:t xml:space="preserve">ousing </w:t>
      </w:r>
      <w:r w:rsidR="00942056" w:rsidRPr="00A71F9E">
        <w:rPr>
          <w:rFonts w:cs="Arial"/>
        </w:rPr>
        <w:t>R</w:t>
      </w:r>
      <w:r w:rsidR="00694162">
        <w:rPr>
          <w:rFonts w:cs="Arial"/>
        </w:rPr>
        <w:t xml:space="preserve">evenue Account </w:t>
      </w:r>
      <w:r w:rsidR="00942056" w:rsidRPr="00A71F9E">
        <w:rPr>
          <w:rFonts w:cs="Arial"/>
        </w:rPr>
        <w:t xml:space="preserve">Medium Term Financial Plan as </w:t>
      </w:r>
      <w:r w:rsidR="000D3814">
        <w:rPr>
          <w:rFonts w:cs="Arial"/>
        </w:rPr>
        <w:t xml:space="preserve">set out in </w:t>
      </w:r>
      <w:r w:rsidR="00942056" w:rsidRPr="00A71F9E">
        <w:rPr>
          <w:rFonts w:cs="Arial"/>
        </w:rPr>
        <w:t xml:space="preserve"> Appendices 1-</w:t>
      </w:r>
      <w:r w:rsidR="00D3287B">
        <w:rPr>
          <w:rFonts w:cs="Arial"/>
        </w:rPr>
        <w:t>9</w:t>
      </w:r>
      <w:r w:rsidR="00F05A6A">
        <w:rPr>
          <w:rFonts w:cs="Arial"/>
        </w:rPr>
        <w:t xml:space="preserve">, </w:t>
      </w:r>
      <w:r w:rsidR="00942056" w:rsidRPr="00A71F9E">
        <w:rPr>
          <w:rFonts w:cs="Arial"/>
        </w:rPr>
        <w:t xml:space="preserve">noting </w:t>
      </w:r>
      <w:r w:rsidR="00AC1E36">
        <w:rPr>
          <w:rFonts w:cs="Arial"/>
        </w:rPr>
        <w:t>:</w:t>
      </w:r>
      <w:r w:rsidR="00942056" w:rsidRPr="00A71F9E">
        <w:rPr>
          <w:rFonts w:cs="Arial"/>
        </w:rPr>
        <w:br/>
      </w:r>
    </w:p>
    <w:p w14:paraId="41A03509" w14:textId="77777777" w:rsidR="00942056" w:rsidRDefault="00694162" w:rsidP="003F4A26">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 xml:space="preserve">      </w:t>
      </w:r>
      <w:r w:rsidR="003F4A26">
        <w:rPr>
          <w:rFonts w:cs="Arial"/>
        </w:rPr>
        <w:tab/>
      </w:r>
      <w:r w:rsidR="00942056" w:rsidRPr="00244A22">
        <w:rPr>
          <w:rFonts w:cs="Arial"/>
        </w:rPr>
        <w:t xml:space="preserve">a) </w:t>
      </w:r>
      <w:proofErr w:type="gramStart"/>
      <w:r w:rsidR="00942056" w:rsidRPr="00244A22">
        <w:rPr>
          <w:rFonts w:cs="Arial"/>
        </w:rPr>
        <w:t>the</w:t>
      </w:r>
      <w:proofErr w:type="gramEnd"/>
      <w:r w:rsidR="00942056" w:rsidRPr="00244A22">
        <w:rPr>
          <w:rFonts w:cs="Arial"/>
        </w:rPr>
        <w:t xml:space="preserve"> Council’s General Fund Budget Requirement </w:t>
      </w:r>
      <w:r w:rsidR="00942056" w:rsidRPr="00371E47">
        <w:rPr>
          <w:rFonts w:cs="Arial"/>
        </w:rPr>
        <w:t>of £</w:t>
      </w:r>
      <w:r w:rsidR="00244A22" w:rsidRPr="00371E47">
        <w:rPr>
          <w:rFonts w:cs="Arial"/>
        </w:rPr>
        <w:t>2</w:t>
      </w:r>
      <w:r w:rsidR="00A22A47" w:rsidRPr="00371E47">
        <w:rPr>
          <w:rFonts w:cs="Arial"/>
        </w:rPr>
        <w:t>3</w:t>
      </w:r>
      <w:r w:rsidR="00244A22" w:rsidRPr="00371E47">
        <w:rPr>
          <w:rFonts w:cs="Arial"/>
        </w:rPr>
        <w:t>.</w:t>
      </w:r>
      <w:r w:rsidR="00371E47" w:rsidRPr="00371E47">
        <w:rPr>
          <w:rFonts w:cs="Arial"/>
        </w:rPr>
        <w:t>281</w:t>
      </w:r>
      <w:r w:rsidR="00942056" w:rsidRPr="00371E47">
        <w:rPr>
          <w:rFonts w:cs="Arial"/>
        </w:rPr>
        <w:t xml:space="preserve"> million</w:t>
      </w:r>
      <w:r w:rsidR="00942056" w:rsidRPr="00244A22">
        <w:rPr>
          <w:rFonts w:cs="Arial"/>
        </w:rPr>
        <w:t xml:space="preserve"> for </w:t>
      </w:r>
      <w:r w:rsidR="003F4A26">
        <w:rPr>
          <w:rFonts w:cs="Arial"/>
        </w:rPr>
        <w:t xml:space="preserve">  </w:t>
      </w:r>
      <w:r w:rsidR="00942056" w:rsidRPr="00244A22">
        <w:rPr>
          <w:rFonts w:cs="Arial"/>
        </w:rPr>
        <w:t>201</w:t>
      </w:r>
      <w:r w:rsidR="00A22A47">
        <w:rPr>
          <w:rFonts w:cs="Arial"/>
        </w:rPr>
        <w:t>8</w:t>
      </w:r>
      <w:r w:rsidR="00942056" w:rsidRPr="00244A22">
        <w:rPr>
          <w:rFonts w:cs="Arial"/>
        </w:rPr>
        <w:t>/1</w:t>
      </w:r>
      <w:r w:rsidR="00A22A47">
        <w:rPr>
          <w:rFonts w:cs="Arial"/>
        </w:rPr>
        <w:t>9</w:t>
      </w:r>
      <w:r w:rsidR="003F4A26">
        <w:rPr>
          <w:rFonts w:cs="Arial"/>
        </w:rPr>
        <w:t xml:space="preserve"> </w:t>
      </w:r>
      <w:r w:rsidR="00942056" w:rsidRPr="00244A22">
        <w:rPr>
          <w:rFonts w:cs="Arial"/>
        </w:rPr>
        <w:t>and an increase in the Band D Council Tax of 1.</w:t>
      </w:r>
      <w:r w:rsidR="00A77B8D" w:rsidRPr="00244A22">
        <w:rPr>
          <w:rFonts w:cs="Arial"/>
        </w:rPr>
        <w:t>99</w:t>
      </w:r>
      <w:r w:rsidR="00942056" w:rsidRPr="00244A22">
        <w:rPr>
          <w:rFonts w:cs="Arial"/>
        </w:rPr>
        <w:t>% or £</w:t>
      </w:r>
      <w:r w:rsidR="00A77B8D" w:rsidRPr="00244A22">
        <w:rPr>
          <w:rFonts w:cs="Arial"/>
        </w:rPr>
        <w:t>5.</w:t>
      </w:r>
      <w:r w:rsidR="00A22A47">
        <w:rPr>
          <w:rFonts w:cs="Arial"/>
        </w:rPr>
        <w:t>77</w:t>
      </w:r>
      <w:r w:rsidR="00942056" w:rsidRPr="00244A22">
        <w:rPr>
          <w:rFonts w:cs="Arial"/>
        </w:rPr>
        <w:t xml:space="preserve"> per annum</w:t>
      </w:r>
      <w:r w:rsidR="003F4A26">
        <w:rPr>
          <w:rFonts w:cs="Arial"/>
        </w:rPr>
        <w:t xml:space="preserve"> </w:t>
      </w:r>
      <w:r w:rsidR="00942056" w:rsidRPr="00244A22">
        <w:rPr>
          <w:rFonts w:cs="Arial"/>
        </w:rPr>
        <w:t>representing a Band D Council Tax of £2</w:t>
      </w:r>
      <w:r w:rsidR="00C51153" w:rsidRPr="00244A22">
        <w:rPr>
          <w:rFonts w:cs="Arial"/>
        </w:rPr>
        <w:t>9</w:t>
      </w:r>
      <w:r w:rsidR="00A22A47">
        <w:rPr>
          <w:rFonts w:cs="Arial"/>
        </w:rPr>
        <w:t>5</w:t>
      </w:r>
      <w:r w:rsidR="00A77B8D" w:rsidRPr="00244A22">
        <w:rPr>
          <w:rFonts w:cs="Arial"/>
        </w:rPr>
        <w:t>.</w:t>
      </w:r>
      <w:r w:rsidR="00A22A47">
        <w:rPr>
          <w:rFonts w:cs="Arial"/>
        </w:rPr>
        <w:t>96</w:t>
      </w:r>
      <w:r w:rsidR="00942056" w:rsidRPr="00244A22">
        <w:rPr>
          <w:rFonts w:cs="Arial"/>
        </w:rPr>
        <w:t xml:space="preserve"> per annum</w:t>
      </w:r>
      <w:r w:rsidR="00815AE9">
        <w:rPr>
          <w:rFonts w:cs="Arial"/>
        </w:rPr>
        <w:t xml:space="preserve"> as set out in Appendix 1</w:t>
      </w:r>
    </w:p>
    <w:p w14:paraId="3A1F6C04" w14:textId="77777777" w:rsidR="00A71F9E" w:rsidRDefault="00A71F9E" w:rsidP="007B3F5D">
      <w:pPr>
        <w:pBdr>
          <w:top w:val="single" w:sz="4" w:space="1" w:color="auto"/>
          <w:left w:val="single" w:sz="4" w:space="0" w:color="auto"/>
          <w:bottom w:val="single" w:sz="4" w:space="1" w:color="auto"/>
          <w:right w:val="single" w:sz="4" w:space="4" w:color="auto"/>
        </w:pBdr>
        <w:tabs>
          <w:tab w:val="left" w:pos="3048"/>
        </w:tabs>
        <w:ind w:right="386"/>
        <w:rPr>
          <w:rFonts w:cs="Arial"/>
        </w:rPr>
      </w:pPr>
    </w:p>
    <w:p w14:paraId="627FB5CF" w14:textId="77777777" w:rsidR="001005F5" w:rsidRDefault="00694162" w:rsidP="003F4A26">
      <w:pPr>
        <w:pBdr>
          <w:top w:val="single" w:sz="4" w:space="1" w:color="auto"/>
          <w:left w:val="single" w:sz="4" w:space="0" w:color="auto"/>
          <w:bottom w:val="single" w:sz="4" w:space="1" w:color="auto"/>
          <w:right w:val="single" w:sz="4" w:space="4" w:color="auto"/>
        </w:pBdr>
        <w:tabs>
          <w:tab w:val="left" w:pos="851"/>
        </w:tabs>
        <w:ind w:left="1134" w:right="386" w:hanging="1134"/>
        <w:rPr>
          <w:rFonts w:cs="Arial"/>
        </w:rPr>
      </w:pPr>
      <w:r>
        <w:rPr>
          <w:rFonts w:cs="Arial"/>
        </w:rPr>
        <w:t xml:space="preserve">     </w:t>
      </w:r>
      <w:r w:rsidR="003F4A26">
        <w:rPr>
          <w:rFonts w:cs="Arial"/>
        </w:rPr>
        <w:tab/>
      </w:r>
      <w:r w:rsidR="0059228F">
        <w:rPr>
          <w:rFonts w:cs="Arial"/>
        </w:rPr>
        <w:t>b</w:t>
      </w:r>
      <w:r w:rsidR="00942056" w:rsidRPr="00244A22">
        <w:rPr>
          <w:rFonts w:cs="Arial"/>
        </w:rPr>
        <w:t xml:space="preserve">) </w:t>
      </w:r>
      <w:proofErr w:type="gramStart"/>
      <w:r w:rsidR="00942056" w:rsidRPr="00244A22">
        <w:rPr>
          <w:rFonts w:cs="Arial"/>
        </w:rPr>
        <w:t>the</w:t>
      </w:r>
      <w:proofErr w:type="gramEnd"/>
      <w:r w:rsidR="00942056" w:rsidRPr="00244A22">
        <w:rPr>
          <w:rFonts w:cs="Arial"/>
        </w:rPr>
        <w:t xml:space="preserve"> Housing Revenue Account budget for 201</w:t>
      </w:r>
      <w:r w:rsidR="00A22A47">
        <w:rPr>
          <w:rFonts w:cs="Arial"/>
        </w:rPr>
        <w:t>8</w:t>
      </w:r>
      <w:r w:rsidR="00942056" w:rsidRPr="00244A22">
        <w:rPr>
          <w:rFonts w:cs="Arial"/>
        </w:rPr>
        <w:t>/1</w:t>
      </w:r>
      <w:r w:rsidR="00A22A47">
        <w:rPr>
          <w:rFonts w:cs="Arial"/>
        </w:rPr>
        <w:t>9</w:t>
      </w:r>
      <w:r w:rsidR="00942056" w:rsidRPr="00244A22">
        <w:rPr>
          <w:rFonts w:cs="Arial"/>
        </w:rPr>
        <w:t xml:space="preserve"> </w:t>
      </w:r>
      <w:r w:rsidR="001005F5" w:rsidRPr="007808FE">
        <w:rPr>
          <w:rFonts w:cs="Arial"/>
        </w:rPr>
        <w:t>of £4</w:t>
      </w:r>
      <w:r w:rsidR="007808FE" w:rsidRPr="007808FE">
        <w:rPr>
          <w:rFonts w:cs="Arial"/>
        </w:rPr>
        <w:t>3</w:t>
      </w:r>
      <w:r w:rsidR="001005F5" w:rsidRPr="007808FE">
        <w:rPr>
          <w:rFonts w:cs="Arial"/>
        </w:rPr>
        <w:t>.</w:t>
      </w:r>
      <w:r w:rsidR="00244A22" w:rsidRPr="007808FE">
        <w:rPr>
          <w:rFonts w:cs="Arial"/>
        </w:rPr>
        <w:t>2</w:t>
      </w:r>
      <w:r w:rsidR="007808FE" w:rsidRPr="007808FE">
        <w:rPr>
          <w:rFonts w:cs="Arial"/>
        </w:rPr>
        <w:t>41</w:t>
      </w:r>
      <w:r w:rsidR="001005F5" w:rsidRPr="007808FE">
        <w:rPr>
          <w:rFonts w:cs="Arial"/>
        </w:rPr>
        <w:t xml:space="preserve"> million</w:t>
      </w:r>
      <w:r w:rsidR="001005F5" w:rsidRPr="00244A22">
        <w:rPr>
          <w:rFonts w:cs="Arial"/>
        </w:rPr>
        <w:t xml:space="preserve"> </w:t>
      </w:r>
      <w:r w:rsidR="00942056" w:rsidRPr="00244A22">
        <w:rPr>
          <w:rFonts w:cs="Arial"/>
        </w:rPr>
        <w:t xml:space="preserve">and a </w:t>
      </w:r>
      <w:r w:rsidR="005501CA" w:rsidRPr="00244A22">
        <w:rPr>
          <w:rFonts w:cs="Arial"/>
        </w:rPr>
        <w:t>reduction</w:t>
      </w:r>
      <w:r w:rsidR="00ED5CA8" w:rsidRPr="00244A22">
        <w:rPr>
          <w:rFonts w:cs="Arial"/>
        </w:rPr>
        <w:t xml:space="preserve"> of 1</w:t>
      </w:r>
      <w:r w:rsidR="00DE3FBB" w:rsidRPr="00244A22">
        <w:rPr>
          <w:rFonts w:cs="Arial"/>
        </w:rPr>
        <w:t xml:space="preserve">% </w:t>
      </w:r>
      <w:r w:rsidR="00DE3FBB" w:rsidRPr="007808FE">
        <w:rPr>
          <w:rFonts w:cs="Arial"/>
        </w:rPr>
        <w:t>(</w:t>
      </w:r>
      <w:r w:rsidR="00ED5CA8" w:rsidRPr="007808FE">
        <w:rPr>
          <w:rFonts w:cs="Arial"/>
        </w:rPr>
        <w:t>£</w:t>
      </w:r>
      <w:r w:rsidR="007808FE" w:rsidRPr="007808FE">
        <w:rPr>
          <w:rFonts w:cs="Arial"/>
        </w:rPr>
        <w:t>0.85</w:t>
      </w:r>
      <w:r w:rsidR="00ED5CA8" w:rsidRPr="007808FE">
        <w:rPr>
          <w:rFonts w:cs="Arial"/>
        </w:rPr>
        <w:t>/</w:t>
      </w:r>
      <w:proofErr w:type="spellStart"/>
      <w:r w:rsidR="00ED5CA8" w:rsidRPr="007808FE">
        <w:rPr>
          <w:rFonts w:cs="Arial"/>
        </w:rPr>
        <w:t>wk</w:t>
      </w:r>
      <w:proofErr w:type="spellEnd"/>
      <w:r w:rsidR="00ED5CA8" w:rsidRPr="007808FE">
        <w:rPr>
          <w:rFonts w:cs="Arial"/>
        </w:rPr>
        <w:t>)</w:t>
      </w:r>
      <w:r w:rsidR="00ED5CA8" w:rsidRPr="00244A22">
        <w:rPr>
          <w:rFonts w:cs="Arial"/>
        </w:rPr>
        <w:t xml:space="preserve"> in </w:t>
      </w:r>
      <w:r w:rsidR="001A7147" w:rsidRPr="00244A22">
        <w:rPr>
          <w:rFonts w:cs="Arial"/>
        </w:rPr>
        <w:t xml:space="preserve">social </w:t>
      </w:r>
      <w:r w:rsidR="00942056" w:rsidRPr="00244A22">
        <w:rPr>
          <w:rFonts w:cs="Arial"/>
        </w:rPr>
        <w:t>dwelling rent</w:t>
      </w:r>
      <w:r w:rsidR="001A7147" w:rsidRPr="00244A22">
        <w:rPr>
          <w:rFonts w:cs="Arial"/>
        </w:rPr>
        <w:t>s</w:t>
      </w:r>
      <w:r w:rsidR="00942056" w:rsidRPr="00244A22">
        <w:rPr>
          <w:rFonts w:cs="Arial"/>
        </w:rPr>
        <w:t xml:space="preserve"> </w:t>
      </w:r>
      <w:r w:rsidRPr="00244A22">
        <w:rPr>
          <w:rFonts w:cs="Arial"/>
        </w:rPr>
        <w:t>fr</w:t>
      </w:r>
      <w:r w:rsidR="005501CA" w:rsidRPr="00244A22">
        <w:rPr>
          <w:rFonts w:cs="Arial"/>
        </w:rPr>
        <w:t>om</w:t>
      </w:r>
      <w:r w:rsidRPr="00244A22">
        <w:rPr>
          <w:rFonts w:cs="Arial"/>
        </w:rPr>
        <w:t xml:space="preserve"> </w:t>
      </w:r>
      <w:r w:rsidR="00DE3FBB" w:rsidRPr="00244A22">
        <w:rPr>
          <w:rFonts w:cs="Arial"/>
        </w:rPr>
        <w:t>April 201</w:t>
      </w:r>
      <w:r w:rsidR="00A22A47">
        <w:rPr>
          <w:rFonts w:cs="Arial"/>
        </w:rPr>
        <w:t>8</w:t>
      </w:r>
      <w:r w:rsidR="008E7C41" w:rsidRPr="00244A22">
        <w:rPr>
          <w:rFonts w:cs="Arial"/>
        </w:rPr>
        <w:t xml:space="preserve"> </w:t>
      </w:r>
      <w:r w:rsidR="008E2808" w:rsidRPr="00244A22">
        <w:rPr>
          <w:rFonts w:cs="Arial"/>
        </w:rPr>
        <w:t>giving</w:t>
      </w:r>
      <w:r w:rsidR="001A7147" w:rsidRPr="00244A22">
        <w:rPr>
          <w:rFonts w:cs="Arial"/>
        </w:rPr>
        <w:t xml:space="preserve"> a </w:t>
      </w:r>
      <w:r w:rsidR="00ED5CA8" w:rsidRPr="00244A22">
        <w:rPr>
          <w:rFonts w:cs="Arial"/>
        </w:rPr>
        <w:t xml:space="preserve">revised </w:t>
      </w:r>
      <w:r w:rsidR="001A7147" w:rsidRPr="00244A22">
        <w:rPr>
          <w:rFonts w:cs="Arial"/>
        </w:rPr>
        <w:t xml:space="preserve">weekly average social rent of </w:t>
      </w:r>
      <w:r w:rsidR="001A7147" w:rsidRPr="007808FE">
        <w:rPr>
          <w:rFonts w:cs="Arial"/>
        </w:rPr>
        <w:t>£10</w:t>
      </w:r>
      <w:r w:rsidR="007808FE" w:rsidRPr="007808FE">
        <w:rPr>
          <w:rFonts w:cs="Arial"/>
        </w:rPr>
        <w:t>4</w:t>
      </w:r>
      <w:r w:rsidR="00942056" w:rsidRPr="007808FE">
        <w:rPr>
          <w:rFonts w:cs="Arial"/>
        </w:rPr>
        <w:t>.</w:t>
      </w:r>
      <w:r w:rsidR="007808FE" w:rsidRPr="007808FE">
        <w:rPr>
          <w:rFonts w:cs="Arial"/>
        </w:rPr>
        <w:t>58</w:t>
      </w:r>
      <w:r w:rsidR="00942056" w:rsidRPr="00244A22">
        <w:rPr>
          <w:rFonts w:cs="Arial"/>
        </w:rPr>
        <w:t xml:space="preserve"> as set out in Appendix</w:t>
      </w:r>
      <w:r w:rsidR="001005F5" w:rsidRPr="00244A22">
        <w:rPr>
          <w:rFonts w:cs="Arial"/>
        </w:rPr>
        <w:t xml:space="preserve"> </w:t>
      </w:r>
      <w:r w:rsidR="00E70508" w:rsidRPr="00244A22">
        <w:rPr>
          <w:rFonts w:cs="Arial"/>
        </w:rPr>
        <w:t>4</w:t>
      </w:r>
      <w:r w:rsidR="00815AE9">
        <w:rPr>
          <w:rFonts w:cs="Arial"/>
        </w:rPr>
        <w:t xml:space="preserve"> &amp; 5</w:t>
      </w:r>
    </w:p>
    <w:p w14:paraId="586EB6AA" w14:textId="77777777" w:rsidR="00AC1E36" w:rsidRDefault="00AC1E36"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2A628A40" w14:textId="77777777" w:rsidR="00AC1E36" w:rsidRDefault="00AC1E36" w:rsidP="003F4A26">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ab/>
      </w:r>
      <w:r w:rsidR="0059228F">
        <w:rPr>
          <w:rFonts w:cs="Arial"/>
        </w:rPr>
        <w:t>c</w:t>
      </w:r>
      <w:r>
        <w:rPr>
          <w:rFonts w:cs="Arial"/>
        </w:rPr>
        <w:t>)</w:t>
      </w:r>
      <w:r w:rsidR="0059228F">
        <w:rPr>
          <w:rFonts w:cs="Arial"/>
        </w:rPr>
        <w:t xml:space="preserve"> </w:t>
      </w:r>
      <w:r>
        <w:rPr>
          <w:rFonts w:cs="Arial"/>
        </w:rPr>
        <w:t xml:space="preserve"> </w:t>
      </w:r>
      <w:proofErr w:type="gramStart"/>
      <w:r>
        <w:rPr>
          <w:rFonts w:cs="Arial"/>
        </w:rPr>
        <w:t>the</w:t>
      </w:r>
      <w:proofErr w:type="gramEnd"/>
      <w:r>
        <w:rPr>
          <w:rFonts w:cs="Arial"/>
        </w:rPr>
        <w:t xml:space="preserve"> General Fund</w:t>
      </w:r>
      <w:r w:rsidR="00556EE7">
        <w:rPr>
          <w:rFonts w:cs="Arial"/>
        </w:rPr>
        <w:t xml:space="preserve"> </w:t>
      </w:r>
      <w:r>
        <w:rPr>
          <w:rFonts w:cs="Arial"/>
        </w:rPr>
        <w:t>and Housing Revenue Account Capital Programme as shown i</w:t>
      </w:r>
      <w:r w:rsidR="0059228F">
        <w:rPr>
          <w:rFonts w:cs="Arial"/>
        </w:rPr>
        <w:t>n</w:t>
      </w:r>
      <w:r>
        <w:rPr>
          <w:rFonts w:cs="Arial"/>
        </w:rPr>
        <w:t xml:space="preserve"> Appendix </w:t>
      </w:r>
      <w:r w:rsidR="00E70508">
        <w:rPr>
          <w:rFonts w:cs="Arial"/>
        </w:rPr>
        <w:t>6</w:t>
      </w:r>
      <w:r>
        <w:rPr>
          <w:rFonts w:cs="Arial"/>
        </w:rPr>
        <w:t>.</w:t>
      </w:r>
    </w:p>
    <w:p w14:paraId="215E81B5" w14:textId="77777777" w:rsidR="001005F5" w:rsidRDefault="001005F5"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41A2C908" w14:textId="77777777" w:rsidR="00AB541D" w:rsidRDefault="008E2808"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r>
        <w:rPr>
          <w:rFonts w:cs="Arial"/>
        </w:rPr>
        <w:t xml:space="preserve">2) </w:t>
      </w:r>
      <w:r w:rsidR="00957544">
        <w:rPr>
          <w:rFonts w:cs="Arial"/>
        </w:rPr>
        <w:t xml:space="preserve">   </w:t>
      </w:r>
      <w:r>
        <w:rPr>
          <w:rFonts w:cs="Arial"/>
        </w:rPr>
        <w:t>A</w:t>
      </w:r>
      <w:r w:rsidR="00334403">
        <w:rPr>
          <w:rFonts w:cs="Arial"/>
        </w:rPr>
        <w:t xml:space="preserve">gree the fees and charges shown in </w:t>
      </w:r>
      <w:r w:rsidR="00334403" w:rsidRPr="0059228F">
        <w:rPr>
          <w:rFonts w:cs="Arial"/>
        </w:rPr>
        <w:t xml:space="preserve">Appendix </w:t>
      </w:r>
      <w:r w:rsidR="0059228F" w:rsidRPr="0059228F">
        <w:rPr>
          <w:rFonts w:cs="Arial"/>
        </w:rPr>
        <w:t>7</w:t>
      </w:r>
      <w:r w:rsidR="00334403">
        <w:rPr>
          <w:rFonts w:cs="Arial"/>
        </w:rPr>
        <w:t xml:space="preserve"> </w:t>
      </w:r>
    </w:p>
    <w:p w14:paraId="1D070E4D" w14:textId="77777777" w:rsidR="00526741" w:rsidRDefault="00526741"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32BC6402" w14:textId="77777777" w:rsidR="003A37E1" w:rsidRDefault="003A37E1" w:rsidP="007A3B37">
      <w:pPr>
        <w:ind w:right="386" w:firstLine="720"/>
        <w:jc w:val="both"/>
        <w:rPr>
          <w:b/>
        </w:rPr>
      </w:pPr>
    </w:p>
    <w:p w14:paraId="541F0783" w14:textId="77777777" w:rsidR="003B33E2" w:rsidRDefault="003B33E2" w:rsidP="007A3B37">
      <w:pPr>
        <w:ind w:right="386" w:firstLine="720"/>
        <w:jc w:val="both"/>
        <w:rPr>
          <w:b/>
        </w:rPr>
      </w:pPr>
    </w:p>
    <w:p w14:paraId="45701770" w14:textId="77777777" w:rsidR="003B33E2" w:rsidRDefault="003B33E2" w:rsidP="00D14370">
      <w:pPr>
        <w:ind w:right="386"/>
        <w:jc w:val="both"/>
        <w:rPr>
          <w:b/>
        </w:rPr>
      </w:pPr>
    </w:p>
    <w:p w14:paraId="2084D23B" w14:textId="77777777" w:rsidR="00D14370" w:rsidRDefault="00D14370" w:rsidP="00D14370">
      <w:pPr>
        <w:ind w:right="386"/>
        <w:jc w:val="both"/>
        <w:rPr>
          <w:b/>
        </w:rPr>
      </w:pPr>
    </w:p>
    <w:p w14:paraId="69E46300" w14:textId="77777777" w:rsidR="0000772B" w:rsidRDefault="0000772B" w:rsidP="003B33E2">
      <w:pPr>
        <w:ind w:right="386"/>
        <w:jc w:val="both"/>
        <w:rPr>
          <w:b/>
        </w:rPr>
      </w:pPr>
    </w:p>
    <w:tbl>
      <w:tblPr>
        <w:tblStyle w:val="TableGrid"/>
        <w:tblW w:w="0" w:type="auto"/>
        <w:tblInd w:w="108" w:type="dxa"/>
        <w:tblLook w:val="04A0" w:firstRow="1" w:lastRow="0" w:firstColumn="1" w:lastColumn="0" w:noHBand="0" w:noVBand="1"/>
      </w:tblPr>
      <w:tblGrid>
        <w:gridCol w:w="1505"/>
        <w:gridCol w:w="7673"/>
      </w:tblGrid>
      <w:tr w:rsidR="003B33E2" w:rsidRPr="003B33E2" w14:paraId="340BF1A6" w14:textId="77777777" w:rsidTr="003B33E2">
        <w:tc>
          <w:tcPr>
            <w:tcW w:w="9395" w:type="dxa"/>
            <w:gridSpan w:val="2"/>
            <w:tcBorders>
              <w:bottom w:val="single" w:sz="4" w:space="0" w:color="auto"/>
            </w:tcBorders>
          </w:tcPr>
          <w:p w14:paraId="3321D598" w14:textId="5CF2F19A" w:rsidR="003B33E2" w:rsidRPr="003B33E2" w:rsidRDefault="003B33E2" w:rsidP="003B33E2">
            <w:pPr>
              <w:tabs>
                <w:tab w:val="left" w:pos="567"/>
              </w:tabs>
              <w:spacing w:after="120"/>
              <w:jc w:val="center"/>
              <w:rPr>
                <w:b/>
              </w:rPr>
            </w:pPr>
            <w:r w:rsidRPr="003B33E2">
              <w:rPr>
                <w:b/>
              </w:rPr>
              <w:t>Appendices</w:t>
            </w:r>
          </w:p>
        </w:tc>
      </w:tr>
      <w:tr w:rsidR="003B33E2" w:rsidRPr="003B33E2" w14:paraId="0EBBA799" w14:textId="4A6604A8" w:rsidTr="003B33E2">
        <w:tc>
          <w:tcPr>
            <w:tcW w:w="1515" w:type="dxa"/>
            <w:tcBorders>
              <w:bottom w:val="nil"/>
              <w:right w:val="nil"/>
            </w:tcBorders>
          </w:tcPr>
          <w:p w14:paraId="49424771" w14:textId="67BD0979" w:rsidR="003B33E2" w:rsidRPr="003B33E2" w:rsidRDefault="003B33E2" w:rsidP="003B33E2">
            <w:pPr>
              <w:tabs>
                <w:tab w:val="left" w:pos="567"/>
              </w:tabs>
              <w:spacing w:after="120"/>
              <w:jc w:val="both"/>
            </w:pPr>
            <w:r w:rsidRPr="003B33E2">
              <w:t>Appendix 1</w:t>
            </w:r>
          </w:p>
        </w:tc>
        <w:tc>
          <w:tcPr>
            <w:tcW w:w="7880" w:type="dxa"/>
            <w:tcBorders>
              <w:left w:val="nil"/>
              <w:bottom w:val="nil"/>
            </w:tcBorders>
          </w:tcPr>
          <w:p w14:paraId="46CD8356" w14:textId="678801E1" w:rsidR="003B33E2" w:rsidRPr="003B33E2" w:rsidRDefault="003B33E2" w:rsidP="003B33E2">
            <w:pPr>
              <w:tabs>
                <w:tab w:val="left" w:pos="567"/>
              </w:tabs>
              <w:spacing w:after="120"/>
              <w:jc w:val="both"/>
            </w:pPr>
            <w:r w:rsidRPr="003B33E2">
              <w:t>Summary of General Fund Budget by Service 2018-19 to 2021-22</w:t>
            </w:r>
          </w:p>
        </w:tc>
      </w:tr>
      <w:tr w:rsidR="003B33E2" w:rsidRPr="003B33E2" w14:paraId="78BDC821" w14:textId="4C1C0C26" w:rsidTr="003B33E2">
        <w:tc>
          <w:tcPr>
            <w:tcW w:w="1515" w:type="dxa"/>
            <w:tcBorders>
              <w:top w:val="nil"/>
              <w:bottom w:val="nil"/>
              <w:right w:val="nil"/>
            </w:tcBorders>
          </w:tcPr>
          <w:p w14:paraId="5019617D" w14:textId="26C0A793" w:rsidR="003B33E2" w:rsidRPr="003B33E2" w:rsidRDefault="003B33E2" w:rsidP="003B33E2">
            <w:pPr>
              <w:tabs>
                <w:tab w:val="left" w:pos="567"/>
              </w:tabs>
              <w:spacing w:after="120"/>
              <w:jc w:val="both"/>
            </w:pPr>
            <w:r w:rsidRPr="003B33E2">
              <w:t>Appendix 2</w:t>
            </w:r>
          </w:p>
        </w:tc>
        <w:tc>
          <w:tcPr>
            <w:tcW w:w="7880" w:type="dxa"/>
            <w:tcBorders>
              <w:top w:val="nil"/>
              <w:left w:val="nil"/>
              <w:bottom w:val="nil"/>
            </w:tcBorders>
          </w:tcPr>
          <w:p w14:paraId="6B0AEAF0" w14:textId="2C7F327D" w:rsidR="003B33E2" w:rsidRPr="003B33E2" w:rsidRDefault="003B33E2" w:rsidP="003B33E2">
            <w:pPr>
              <w:tabs>
                <w:tab w:val="left" w:pos="567"/>
              </w:tabs>
              <w:spacing w:after="120"/>
              <w:jc w:val="both"/>
            </w:pPr>
            <w:r w:rsidRPr="003B33E2">
              <w:t>General Fund Revenue Budget by Service 2018-19 to 2021-22</w:t>
            </w:r>
          </w:p>
        </w:tc>
      </w:tr>
      <w:tr w:rsidR="003B33E2" w:rsidRPr="003B33E2" w14:paraId="3DB609F6" w14:textId="7EAC84AF" w:rsidTr="003B33E2">
        <w:tc>
          <w:tcPr>
            <w:tcW w:w="1515" w:type="dxa"/>
            <w:tcBorders>
              <w:top w:val="nil"/>
              <w:bottom w:val="nil"/>
              <w:right w:val="nil"/>
            </w:tcBorders>
          </w:tcPr>
          <w:p w14:paraId="23B3A462" w14:textId="3494D758" w:rsidR="003B33E2" w:rsidRPr="003B33E2" w:rsidRDefault="003B33E2" w:rsidP="003B33E2">
            <w:pPr>
              <w:tabs>
                <w:tab w:val="left" w:pos="567"/>
              </w:tabs>
              <w:spacing w:after="120"/>
              <w:jc w:val="both"/>
            </w:pPr>
            <w:r w:rsidRPr="003B33E2">
              <w:t>Appendix 3</w:t>
            </w:r>
          </w:p>
        </w:tc>
        <w:tc>
          <w:tcPr>
            <w:tcW w:w="7880" w:type="dxa"/>
            <w:tcBorders>
              <w:top w:val="nil"/>
              <w:left w:val="nil"/>
              <w:bottom w:val="nil"/>
            </w:tcBorders>
          </w:tcPr>
          <w:p w14:paraId="3B6B29F5" w14:textId="21D99E26" w:rsidR="003B33E2" w:rsidRPr="003B33E2" w:rsidRDefault="003B33E2" w:rsidP="003B33E2">
            <w:pPr>
              <w:tabs>
                <w:tab w:val="left" w:pos="567"/>
              </w:tabs>
              <w:spacing w:after="120"/>
              <w:jc w:val="both"/>
            </w:pPr>
            <w:r w:rsidRPr="003B33E2">
              <w:t xml:space="preserve">Detailed General Fund and </w:t>
            </w:r>
            <w:proofErr w:type="spellStart"/>
            <w:r w:rsidRPr="003B33E2">
              <w:t>HRA</w:t>
            </w:r>
            <w:proofErr w:type="spellEnd"/>
            <w:r w:rsidRPr="003B33E2">
              <w:t xml:space="preserve"> Service Budgets 2018-19 to 2021-22</w:t>
            </w:r>
          </w:p>
        </w:tc>
      </w:tr>
      <w:tr w:rsidR="003B33E2" w:rsidRPr="003B33E2" w14:paraId="6A598C06" w14:textId="17FA3B26" w:rsidTr="003B33E2">
        <w:tc>
          <w:tcPr>
            <w:tcW w:w="1515" w:type="dxa"/>
            <w:tcBorders>
              <w:top w:val="nil"/>
              <w:bottom w:val="nil"/>
              <w:right w:val="nil"/>
            </w:tcBorders>
          </w:tcPr>
          <w:p w14:paraId="0BA8EB5A" w14:textId="46C670FD" w:rsidR="003B33E2" w:rsidRPr="003B33E2" w:rsidRDefault="003B33E2" w:rsidP="003B33E2">
            <w:pPr>
              <w:tabs>
                <w:tab w:val="left" w:pos="567"/>
              </w:tabs>
              <w:spacing w:after="120"/>
              <w:jc w:val="both"/>
            </w:pPr>
            <w:r w:rsidRPr="003B33E2">
              <w:t>Appendix 4</w:t>
            </w:r>
          </w:p>
        </w:tc>
        <w:tc>
          <w:tcPr>
            <w:tcW w:w="7880" w:type="dxa"/>
            <w:tcBorders>
              <w:top w:val="nil"/>
              <w:left w:val="nil"/>
              <w:bottom w:val="nil"/>
            </w:tcBorders>
          </w:tcPr>
          <w:p w14:paraId="75BBD2EE" w14:textId="7CAAFD5A" w:rsidR="003B33E2" w:rsidRPr="003B33E2" w:rsidRDefault="003B33E2" w:rsidP="003B33E2">
            <w:pPr>
              <w:tabs>
                <w:tab w:val="left" w:pos="567"/>
              </w:tabs>
              <w:spacing w:after="120"/>
              <w:jc w:val="both"/>
            </w:pPr>
            <w:r w:rsidRPr="003B33E2">
              <w:t>Housing Revenue Account Budget 2018-19 to 2021-22</w:t>
            </w:r>
          </w:p>
        </w:tc>
      </w:tr>
      <w:tr w:rsidR="003B33E2" w:rsidRPr="003B33E2" w14:paraId="0B201304" w14:textId="70E13578" w:rsidTr="003B33E2">
        <w:tc>
          <w:tcPr>
            <w:tcW w:w="1515" w:type="dxa"/>
            <w:tcBorders>
              <w:top w:val="nil"/>
              <w:bottom w:val="nil"/>
              <w:right w:val="nil"/>
            </w:tcBorders>
          </w:tcPr>
          <w:p w14:paraId="085DA217" w14:textId="65DCEBC1" w:rsidR="003B33E2" w:rsidRPr="003B33E2" w:rsidRDefault="003B33E2" w:rsidP="003B33E2">
            <w:pPr>
              <w:tabs>
                <w:tab w:val="left" w:pos="567"/>
              </w:tabs>
              <w:spacing w:after="120"/>
              <w:jc w:val="both"/>
            </w:pPr>
            <w:r w:rsidRPr="003B33E2">
              <w:t>Appendix 5</w:t>
            </w:r>
          </w:p>
        </w:tc>
        <w:tc>
          <w:tcPr>
            <w:tcW w:w="7880" w:type="dxa"/>
            <w:tcBorders>
              <w:top w:val="nil"/>
              <w:left w:val="nil"/>
              <w:bottom w:val="nil"/>
            </w:tcBorders>
          </w:tcPr>
          <w:p w14:paraId="0ACD3C0D" w14:textId="5D1E1372" w:rsidR="003B33E2" w:rsidRPr="003B33E2" w:rsidRDefault="003B33E2" w:rsidP="003B33E2">
            <w:pPr>
              <w:tabs>
                <w:tab w:val="left" w:pos="567"/>
              </w:tabs>
              <w:spacing w:after="120"/>
              <w:jc w:val="both"/>
            </w:pPr>
            <w:r w:rsidRPr="003B33E2">
              <w:t xml:space="preserve">Council House Rents By Estate </w:t>
            </w:r>
          </w:p>
        </w:tc>
      </w:tr>
      <w:tr w:rsidR="003B33E2" w:rsidRPr="003B33E2" w14:paraId="01299020" w14:textId="248130ED" w:rsidTr="003B33E2">
        <w:tc>
          <w:tcPr>
            <w:tcW w:w="1515" w:type="dxa"/>
            <w:tcBorders>
              <w:top w:val="nil"/>
              <w:bottom w:val="nil"/>
              <w:right w:val="nil"/>
            </w:tcBorders>
          </w:tcPr>
          <w:p w14:paraId="68863EF1" w14:textId="4A8357AC" w:rsidR="003B33E2" w:rsidRPr="003B33E2" w:rsidRDefault="003B33E2" w:rsidP="003B33E2">
            <w:pPr>
              <w:tabs>
                <w:tab w:val="left" w:pos="567"/>
              </w:tabs>
              <w:spacing w:after="120"/>
              <w:jc w:val="both"/>
            </w:pPr>
            <w:r w:rsidRPr="003B33E2">
              <w:t>Appendix 6</w:t>
            </w:r>
          </w:p>
        </w:tc>
        <w:tc>
          <w:tcPr>
            <w:tcW w:w="7880" w:type="dxa"/>
            <w:tcBorders>
              <w:top w:val="nil"/>
              <w:left w:val="nil"/>
              <w:bottom w:val="nil"/>
            </w:tcBorders>
          </w:tcPr>
          <w:p w14:paraId="0B3EACAC" w14:textId="63BFA755" w:rsidR="003B33E2" w:rsidRPr="003B33E2" w:rsidRDefault="003B33E2" w:rsidP="003B33E2">
            <w:pPr>
              <w:tabs>
                <w:tab w:val="left" w:pos="567"/>
              </w:tabs>
              <w:spacing w:after="120"/>
              <w:jc w:val="both"/>
            </w:pPr>
            <w:r w:rsidRPr="003B33E2">
              <w:t xml:space="preserve">General Fund and </w:t>
            </w:r>
            <w:proofErr w:type="spellStart"/>
            <w:r w:rsidRPr="003B33E2">
              <w:t>HRA</w:t>
            </w:r>
            <w:proofErr w:type="spellEnd"/>
            <w:r w:rsidRPr="003B33E2">
              <w:t xml:space="preserve"> Capital Programme 2018-19 to 2021-22</w:t>
            </w:r>
          </w:p>
        </w:tc>
      </w:tr>
      <w:tr w:rsidR="003B33E2" w:rsidRPr="003B33E2" w14:paraId="135A3D0F" w14:textId="3B61E079" w:rsidTr="003B33E2">
        <w:tc>
          <w:tcPr>
            <w:tcW w:w="1515" w:type="dxa"/>
            <w:tcBorders>
              <w:top w:val="nil"/>
              <w:bottom w:val="nil"/>
              <w:right w:val="nil"/>
            </w:tcBorders>
          </w:tcPr>
          <w:p w14:paraId="328AD6AB" w14:textId="27017BA5" w:rsidR="003B33E2" w:rsidRPr="003B33E2" w:rsidRDefault="003B33E2" w:rsidP="003B33E2">
            <w:pPr>
              <w:tabs>
                <w:tab w:val="left" w:pos="567"/>
              </w:tabs>
              <w:spacing w:after="120"/>
              <w:jc w:val="both"/>
            </w:pPr>
            <w:r w:rsidRPr="003B33E2">
              <w:t>Appendix 7</w:t>
            </w:r>
          </w:p>
        </w:tc>
        <w:tc>
          <w:tcPr>
            <w:tcW w:w="7880" w:type="dxa"/>
            <w:tcBorders>
              <w:top w:val="nil"/>
              <w:left w:val="nil"/>
              <w:bottom w:val="nil"/>
            </w:tcBorders>
          </w:tcPr>
          <w:p w14:paraId="34ED441F" w14:textId="75786682" w:rsidR="003B33E2" w:rsidRPr="003B33E2" w:rsidRDefault="003B33E2" w:rsidP="003B33E2">
            <w:pPr>
              <w:tabs>
                <w:tab w:val="left" w:pos="567"/>
              </w:tabs>
              <w:spacing w:after="120"/>
              <w:jc w:val="both"/>
            </w:pPr>
            <w:r w:rsidRPr="003B33E2">
              <w:t xml:space="preserve">Fees and charges </w:t>
            </w:r>
          </w:p>
        </w:tc>
      </w:tr>
      <w:tr w:rsidR="003B33E2" w:rsidRPr="003B33E2" w14:paraId="7DF277BB" w14:textId="20DD9AE2" w:rsidTr="003B33E2">
        <w:tc>
          <w:tcPr>
            <w:tcW w:w="1515" w:type="dxa"/>
            <w:tcBorders>
              <w:top w:val="nil"/>
              <w:bottom w:val="nil"/>
              <w:right w:val="nil"/>
            </w:tcBorders>
          </w:tcPr>
          <w:p w14:paraId="07E52CC0" w14:textId="7F058040" w:rsidR="003B33E2" w:rsidRPr="003B33E2" w:rsidRDefault="003B33E2" w:rsidP="003B33E2">
            <w:pPr>
              <w:tabs>
                <w:tab w:val="left" w:pos="567"/>
              </w:tabs>
              <w:spacing w:after="120"/>
              <w:jc w:val="both"/>
            </w:pPr>
            <w:r w:rsidRPr="003B33E2">
              <w:t>Appendix 8</w:t>
            </w:r>
          </w:p>
        </w:tc>
        <w:tc>
          <w:tcPr>
            <w:tcW w:w="7880" w:type="dxa"/>
            <w:tcBorders>
              <w:top w:val="nil"/>
              <w:left w:val="nil"/>
              <w:bottom w:val="nil"/>
            </w:tcBorders>
          </w:tcPr>
          <w:p w14:paraId="708B8A78" w14:textId="1A20FFE4" w:rsidR="003B33E2" w:rsidRPr="003B33E2" w:rsidRDefault="003B33E2" w:rsidP="003B33E2">
            <w:pPr>
              <w:tabs>
                <w:tab w:val="left" w:pos="567"/>
              </w:tabs>
              <w:spacing w:after="120"/>
              <w:jc w:val="both"/>
            </w:pPr>
            <w:r w:rsidRPr="003B33E2">
              <w:t>Risk Register</w:t>
            </w:r>
          </w:p>
        </w:tc>
      </w:tr>
      <w:tr w:rsidR="003B33E2" w:rsidRPr="003B33E2" w14:paraId="403B44CA" w14:textId="26CF86B4" w:rsidTr="003B33E2">
        <w:tc>
          <w:tcPr>
            <w:tcW w:w="1515" w:type="dxa"/>
            <w:tcBorders>
              <w:top w:val="nil"/>
              <w:right w:val="nil"/>
            </w:tcBorders>
          </w:tcPr>
          <w:p w14:paraId="59E84F69" w14:textId="575A9777" w:rsidR="003B33E2" w:rsidRPr="003B33E2" w:rsidRDefault="003B33E2" w:rsidP="003B33E2">
            <w:pPr>
              <w:tabs>
                <w:tab w:val="left" w:pos="567"/>
              </w:tabs>
              <w:spacing w:after="120"/>
              <w:jc w:val="both"/>
            </w:pPr>
            <w:r w:rsidRPr="003B33E2">
              <w:t>Appendix 9</w:t>
            </w:r>
          </w:p>
        </w:tc>
        <w:tc>
          <w:tcPr>
            <w:tcW w:w="7880" w:type="dxa"/>
            <w:tcBorders>
              <w:top w:val="nil"/>
              <w:left w:val="nil"/>
            </w:tcBorders>
          </w:tcPr>
          <w:p w14:paraId="026F65E3" w14:textId="132396BD" w:rsidR="003B33E2" w:rsidRPr="003B33E2" w:rsidRDefault="003B33E2" w:rsidP="003B33E2">
            <w:pPr>
              <w:tabs>
                <w:tab w:val="left" w:pos="567"/>
              </w:tabs>
              <w:spacing w:after="120"/>
              <w:jc w:val="both"/>
            </w:pPr>
            <w:r w:rsidRPr="003B33E2">
              <w:t>Draft Equalities Impact Assessment</w:t>
            </w:r>
          </w:p>
        </w:tc>
      </w:tr>
    </w:tbl>
    <w:p w14:paraId="434658EA" w14:textId="77777777" w:rsidR="00F4367A" w:rsidRPr="00FC3A80" w:rsidRDefault="00F4367A" w:rsidP="007C20F4">
      <w:pPr>
        <w:ind w:right="386" w:firstLine="540"/>
        <w:jc w:val="both"/>
        <w:rPr>
          <w:rFonts w:cs="Arial"/>
          <w:sz w:val="22"/>
          <w:szCs w:val="22"/>
        </w:rPr>
      </w:pPr>
    </w:p>
    <w:p w14:paraId="7CCDCF5D" w14:textId="77777777" w:rsidR="00713675" w:rsidRDefault="00713675" w:rsidP="00B3306E">
      <w:pPr>
        <w:ind w:right="386"/>
        <w:jc w:val="both"/>
        <w:rPr>
          <w:sz w:val="22"/>
          <w:szCs w:val="22"/>
        </w:rPr>
      </w:pPr>
    </w:p>
    <w:p w14:paraId="7E991220" w14:textId="77777777" w:rsidR="004C37C3" w:rsidRDefault="00AA26C9" w:rsidP="00942056">
      <w:pPr>
        <w:ind w:right="386"/>
        <w:jc w:val="both"/>
        <w:rPr>
          <w:b/>
          <w:sz w:val="28"/>
          <w:szCs w:val="28"/>
        </w:rPr>
      </w:pPr>
      <w:r>
        <w:rPr>
          <w:b/>
          <w:sz w:val="28"/>
          <w:szCs w:val="28"/>
        </w:rPr>
        <w:t>Comment from the Portfolio holder</w:t>
      </w:r>
    </w:p>
    <w:p w14:paraId="515952D4" w14:textId="77777777" w:rsidR="004C37C3" w:rsidRDefault="004C37C3" w:rsidP="00942056">
      <w:pPr>
        <w:ind w:right="386"/>
        <w:jc w:val="both"/>
        <w:rPr>
          <w:b/>
          <w:sz w:val="28"/>
          <w:szCs w:val="28"/>
        </w:rPr>
      </w:pPr>
    </w:p>
    <w:p w14:paraId="6ACB7CEF" w14:textId="77777777" w:rsidR="004C37C3" w:rsidRDefault="004C37C3" w:rsidP="00942056">
      <w:pPr>
        <w:ind w:right="386"/>
        <w:jc w:val="both"/>
      </w:pPr>
      <w:r>
        <w:t>This budget has been produced in challenging times for Oxford.  On the one hand, we see great opportunities for our city: the opening of the new Westgate Centre has provided a boost to employment locally and our retail sector; the proposed new Housing Deal with government should accelerate housing growth locally and provide funding for desperately needed affordable housing; our economy locally continues to be in a strong position.  However, there are significant challenges: poverty and homelessness continue to be major problems, with rough sleeping numbers rising steeply; some government policies, notably the freeze on benefits and the introduction of Universal Credit, may exacerbate that trend.  Moreover, Brexit may have a very problematic impact on our economy, which, in particular through our growing reliance on business rate growth, could affect the Council’s finances as well as the city’s prosperity more widely.  We should also remember that in 2019/20 the government plans completely to withdraw Revenue Support Grant, and over £9 million has been removed from government funding since 2013.</w:t>
      </w:r>
    </w:p>
    <w:p w14:paraId="1B84C893" w14:textId="77777777" w:rsidR="004C37C3" w:rsidRDefault="004C37C3" w:rsidP="00942056">
      <w:pPr>
        <w:ind w:right="386"/>
        <w:jc w:val="both"/>
      </w:pPr>
    </w:p>
    <w:p w14:paraId="500F6AAC" w14:textId="77777777" w:rsidR="004C37C3" w:rsidRDefault="008B6CE5" w:rsidP="00942056">
      <w:pPr>
        <w:ind w:right="386"/>
        <w:jc w:val="both"/>
      </w:pPr>
      <w:r>
        <w:t>Our aim, in putting together this budget, has been to protect frontline services, and focus additional investment on areas that need it most.</w:t>
      </w:r>
    </w:p>
    <w:p w14:paraId="7A7C15F5" w14:textId="77777777" w:rsidR="008B6CE5" w:rsidRDefault="008B6CE5" w:rsidP="00942056">
      <w:pPr>
        <w:ind w:right="386"/>
        <w:jc w:val="both"/>
      </w:pPr>
    </w:p>
    <w:p w14:paraId="0563512B" w14:textId="77777777" w:rsidR="008B6CE5" w:rsidRDefault="008B6CE5" w:rsidP="00942056">
      <w:pPr>
        <w:ind w:right="386"/>
        <w:jc w:val="both"/>
      </w:pPr>
      <w:r>
        <w:t>Quite specifically:</w:t>
      </w:r>
    </w:p>
    <w:p w14:paraId="4E2D8728" w14:textId="77777777" w:rsidR="008B6CE5" w:rsidRDefault="008B6CE5" w:rsidP="00942056">
      <w:pPr>
        <w:ind w:right="386"/>
        <w:jc w:val="both"/>
      </w:pPr>
    </w:p>
    <w:p w14:paraId="43A6EDA3" w14:textId="77777777" w:rsidR="008B6CE5" w:rsidRDefault="008B6CE5" w:rsidP="000A112B">
      <w:pPr>
        <w:pStyle w:val="ListParagraph"/>
        <w:numPr>
          <w:ilvl w:val="0"/>
          <w:numId w:val="41"/>
        </w:numPr>
        <w:ind w:right="386"/>
        <w:jc w:val="both"/>
      </w:pPr>
      <w:r>
        <w:t>A top priority remains the provision of more affordable housing and tackling the rising tide of homelessness and rough sleeping.  We therefore propose:</w:t>
      </w:r>
    </w:p>
    <w:p w14:paraId="75F75377" w14:textId="77777777" w:rsidR="008B6CE5" w:rsidRDefault="008B6CE5" w:rsidP="000A112B">
      <w:pPr>
        <w:pStyle w:val="ListParagraph"/>
        <w:numPr>
          <w:ilvl w:val="1"/>
          <w:numId w:val="41"/>
        </w:numPr>
        <w:ind w:right="386"/>
        <w:jc w:val="both"/>
      </w:pPr>
      <w:r>
        <w:t xml:space="preserve">To increase funding of homelessness prevention services by £200,000 per annum from 2019/20, to lobby other organisations, notably the County Council, to do more.  </w:t>
      </w:r>
    </w:p>
    <w:p w14:paraId="2C49E07C" w14:textId="77777777" w:rsidR="008B6CE5" w:rsidRDefault="008B6CE5" w:rsidP="000A112B">
      <w:pPr>
        <w:pStyle w:val="ListParagraph"/>
        <w:numPr>
          <w:ilvl w:val="1"/>
          <w:numId w:val="41"/>
        </w:numPr>
        <w:ind w:right="386"/>
        <w:jc w:val="both"/>
      </w:pPr>
      <w:r>
        <w:t>To spend an additional £5 million to purchase properties for local homeless families.</w:t>
      </w:r>
    </w:p>
    <w:p w14:paraId="2935D063" w14:textId="77777777" w:rsidR="008B6CE5" w:rsidRDefault="008B6CE5" w:rsidP="000A112B">
      <w:pPr>
        <w:pStyle w:val="ListParagraph"/>
        <w:numPr>
          <w:ilvl w:val="1"/>
          <w:numId w:val="41"/>
        </w:numPr>
        <w:ind w:right="386"/>
        <w:jc w:val="both"/>
      </w:pPr>
      <w:r>
        <w:t>To earmark over £10 million in the Housing Revenue Account for provision of council housing at the East Oxford Community Centre, as part of that building’s renewal, and at associated sites.</w:t>
      </w:r>
    </w:p>
    <w:p w14:paraId="1088298E" w14:textId="77777777" w:rsidR="008B6CE5" w:rsidRDefault="008B6CE5" w:rsidP="000A112B">
      <w:pPr>
        <w:pStyle w:val="ListParagraph"/>
        <w:numPr>
          <w:ilvl w:val="0"/>
          <w:numId w:val="41"/>
        </w:numPr>
        <w:ind w:right="386"/>
        <w:jc w:val="both"/>
      </w:pPr>
      <w:r>
        <w:t>We want to see retail in Oxford City Centre thrive, to maintain visitor numbers, but to encourage sustainable modes of transport.  We therefore propose to freeze park and ride charges, rather than implement the increase previously proposed.  Instead, charges will rise at other car parks.</w:t>
      </w:r>
    </w:p>
    <w:p w14:paraId="52AED9EB" w14:textId="77777777" w:rsidR="008B6CE5" w:rsidRDefault="008B6CE5" w:rsidP="000A112B">
      <w:pPr>
        <w:pStyle w:val="ListParagraph"/>
        <w:numPr>
          <w:ilvl w:val="0"/>
          <w:numId w:val="41"/>
        </w:numPr>
        <w:ind w:right="386"/>
        <w:jc w:val="both"/>
      </w:pPr>
      <w:r>
        <w:lastRenderedPageBreak/>
        <w:t>As part of our vision to reduce carbon emissions and reduce fuel poverty, we will extend the energy efficiency advice service introduced for council tenants, and have earmarked an additional £100,000 for energy efficiency works in council properties, as well as our ongoing programme of £24.4 million to raise standards in council homes.</w:t>
      </w:r>
    </w:p>
    <w:p w14:paraId="18EAE217" w14:textId="77777777" w:rsidR="008B6CE5" w:rsidRDefault="008B6CE5" w:rsidP="000A112B">
      <w:pPr>
        <w:pStyle w:val="ListParagraph"/>
        <w:numPr>
          <w:ilvl w:val="0"/>
          <w:numId w:val="41"/>
        </w:numPr>
        <w:ind w:right="386"/>
        <w:jc w:val="both"/>
      </w:pPr>
      <w:r>
        <w:t>We propose investment of £1.6 million in the fabric of the Covered Market, as part of our commitment to the city centre.</w:t>
      </w:r>
    </w:p>
    <w:p w14:paraId="05F05E68" w14:textId="77777777" w:rsidR="003E1AD6" w:rsidRDefault="008B6CE5" w:rsidP="000A112B">
      <w:pPr>
        <w:pStyle w:val="ListParagraph"/>
        <w:numPr>
          <w:ilvl w:val="0"/>
          <w:numId w:val="41"/>
        </w:numPr>
        <w:ind w:right="386"/>
        <w:jc w:val="both"/>
      </w:pPr>
      <w:r>
        <w:t>We propose to fund two Police Community Support Officers for the coming year in areas where depleted police numbers are having the highest impact, and will press government for adequate funding of the police service in the future.</w:t>
      </w:r>
      <w:r w:rsidR="003E1AD6">
        <w:t xml:space="preserve">  We also propose additional investment in our tree team, to ensure potentially dangerous trees are treated and made safe.</w:t>
      </w:r>
    </w:p>
    <w:p w14:paraId="71626B48" w14:textId="77777777" w:rsidR="008B6CE5" w:rsidRDefault="008B6CE5" w:rsidP="000A112B">
      <w:pPr>
        <w:pStyle w:val="ListParagraph"/>
        <w:numPr>
          <w:ilvl w:val="0"/>
          <w:numId w:val="41"/>
        </w:numPr>
        <w:ind w:right="386"/>
        <w:jc w:val="both"/>
      </w:pPr>
      <w:r>
        <w:t>As part of our mission to reduce inequality and poverty in Oxford, we will continue to provide the full level of council tax support to households on low incomes.</w:t>
      </w:r>
    </w:p>
    <w:p w14:paraId="67BAAF80" w14:textId="77777777" w:rsidR="003E1AD6" w:rsidRDefault="008B6CE5" w:rsidP="000A112B">
      <w:pPr>
        <w:pStyle w:val="ListParagraph"/>
        <w:numPr>
          <w:ilvl w:val="0"/>
          <w:numId w:val="41"/>
        </w:numPr>
        <w:ind w:right="386"/>
        <w:jc w:val="both"/>
      </w:pPr>
      <w:r>
        <w:t>To safeguard frontline services, we intend to press ahead with the establishment of our Local Authority Trading Company, to offer services to local firms, charities and other organisations, with additional income of £500,000 being forecast annually once the organisation is fully established.</w:t>
      </w:r>
    </w:p>
    <w:p w14:paraId="7FEBB58F" w14:textId="77777777" w:rsidR="008B6CE5" w:rsidRPr="001A3538" w:rsidRDefault="008B6CE5" w:rsidP="000A112B">
      <w:pPr>
        <w:pStyle w:val="ListParagraph"/>
        <w:numPr>
          <w:ilvl w:val="0"/>
          <w:numId w:val="41"/>
        </w:numPr>
        <w:ind w:right="386"/>
        <w:jc w:val="both"/>
      </w:pPr>
      <w:r>
        <w:t xml:space="preserve">We are aware that parking pressures in some areas of the city are severe, for instance due to commuter parking.  We are therefore proposing additional funding of £200,000 to create new controlled parking zones, where there is local </w:t>
      </w:r>
      <w:r w:rsidRPr="001A3538">
        <w:t>support for these.</w:t>
      </w:r>
    </w:p>
    <w:p w14:paraId="10A13D04" w14:textId="01E1C038" w:rsidR="003E1AD6" w:rsidRPr="001A3538" w:rsidRDefault="003E1AD6" w:rsidP="000A112B">
      <w:pPr>
        <w:pStyle w:val="ListParagraph"/>
        <w:numPr>
          <w:ilvl w:val="0"/>
          <w:numId w:val="41"/>
        </w:numPr>
        <w:ind w:right="386"/>
        <w:jc w:val="both"/>
      </w:pPr>
      <w:r w:rsidRPr="001A3538">
        <w:t xml:space="preserve">The budget incorporates continued provision, in full, of our programme of grants of </w:t>
      </w:r>
      <w:r w:rsidR="000A4D0E" w:rsidRPr="001A3538">
        <w:t>£1.4 million t</w:t>
      </w:r>
      <w:r w:rsidRPr="001A3538">
        <w:t xml:space="preserve">o the community and voluntary sectors.  It also includes increased funding of </w:t>
      </w:r>
      <w:r w:rsidR="000A4D0E" w:rsidRPr="001A3538">
        <w:t>£1million</w:t>
      </w:r>
      <w:r w:rsidRPr="001A3538">
        <w:t xml:space="preserve"> for the Museum of Oxford (levering in </w:t>
      </w:r>
      <w:r w:rsidR="001A3538" w:rsidRPr="001A3538">
        <w:t xml:space="preserve">£1.3 million </w:t>
      </w:r>
      <w:r w:rsidRPr="001A3538">
        <w:t>from the Heritage Lottery Fund), which will ensure both visitors and local people are able to access an excellent insight into our city’s history.</w:t>
      </w:r>
    </w:p>
    <w:p w14:paraId="14AE84EB" w14:textId="77777777" w:rsidR="003E1AD6" w:rsidRDefault="003E1AD6" w:rsidP="000A112B">
      <w:pPr>
        <w:ind w:right="386"/>
        <w:jc w:val="both"/>
      </w:pPr>
    </w:p>
    <w:p w14:paraId="062DE345" w14:textId="77777777" w:rsidR="003E1AD6" w:rsidRDefault="003E1AD6" w:rsidP="000A112B">
      <w:pPr>
        <w:ind w:right="386"/>
        <w:jc w:val="both"/>
      </w:pPr>
      <w:r>
        <w:t>This programme of investment in Oxford, at a challenging time, will make a real difference.  Reducing the gap between rich and poor, cutting our carbon footprint, maintaining high-quality public services, tackling homelessness and providing more homes, and keeping our city safe, remain top priorities.  This budget proposes neither service cuts nor compulsory redundancies, and we hope it will give a basis for providing excellent services to our city over the coming years.  Feedback to our consultation will be very welcome.</w:t>
      </w:r>
    </w:p>
    <w:p w14:paraId="6965D056" w14:textId="69DD3FCC" w:rsidR="00B3306E" w:rsidRPr="003B33E2" w:rsidRDefault="00D14370" w:rsidP="003B33E2">
      <w:pPr>
        <w:spacing w:before="240" w:after="120"/>
        <w:outlineLvl w:val="0"/>
        <w:rPr>
          <w:b/>
          <w:color w:val="000000"/>
          <w:lang w:eastAsia="en-GB"/>
        </w:rPr>
      </w:pPr>
      <w:r w:rsidRPr="003B33E2">
        <w:rPr>
          <w:b/>
          <w:color w:val="000000"/>
          <w:lang w:eastAsia="en-GB"/>
        </w:rPr>
        <w:t>Summary</w:t>
      </w:r>
    </w:p>
    <w:p w14:paraId="01F65F98" w14:textId="77777777" w:rsidR="00B3306E" w:rsidRDefault="00B3306E" w:rsidP="00881AFC">
      <w:pPr>
        <w:ind w:right="386"/>
        <w:jc w:val="both"/>
        <w:rPr>
          <w:b/>
          <w:sz w:val="22"/>
          <w:szCs w:val="22"/>
        </w:rPr>
      </w:pPr>
    </w:p>
    <w:p w14:paraId="63BDFBD2" w14:textId="77777777" w:rsidR="007A7044" w:rsidRDefault="00CC1EE8" w:rsidP="00302C27">
      <w:pPr>
        <w:numPr>
          <w:ilvl w:val="0"/>
          <w:numId w:val="3"/>
        </w:numPr>
        <w:tabs>
          <w:tab w:val="clear" w:pos="1440"/>
          <w:tab w:val="num" w:pos="567"/>
        </w:tabs>
        <w:ind w:left="567" w:right="386" w:hanging="567"/>
        <w:jc w:val="both"/>
        <w:rPr>
          <w:rFonts w:cs="Arial"/>
        </w:rPr>
      </w:pPr>
      <w:r>
        <w:rPr>
          <w:rFonts w:cs="Arial"/>
        </w:rPr>
        <w:t>This report sets out the Council</w:t>
      </w:r>
      <w:r w:rsidR="00CD3973">
        <w:rPr>
          <w:rFonts w:cs="Arial"/>
        </w:rPr>
        <w:t>’</w:t>
      </w:r>
      <w:r>
        <w:rPr>
          <w:rFonts w:cs="Arial"/>
        </w:rPr>
        <w:t xml:space="preserve">s </w:t>
      </w:r>
      <w:r w:rsidR="00507287">
        <w:rPr>
          <w:rFonts w:cs="Arial"/>
        </w:rPr>
        <w:t xml:space="preserve">Medium Term Financial Strategy (MTFS) </w:t>
      </w:r>
      <w:r w:rsidR="007A432D">
        <w:rPr>
          <w:rFonts w:cs="Arial"/>
        </w:rPr>
        <w:t xml:space="preserve">and associated </w:t>
      </w:r>
      <w:r>
        <w:rPr>
          <w:rFonts w:cs="Arial"/>
        </w:rPr>
        <w:t xml:space="preserve">spending plans for the four years </w:t>
      </w:r>
      <w:r w:rsidR="00507287">
        <w:rPr>
          <w:rFonts w:cs="Arial"/>
        </w:rPr>
        <w:t>201</w:t>
      </w:r>
      <w:r w:rsidR="00A22A47">
        <w:rPr>
          <w:rFonts w:cs="Arial"/>
        </w:rPr>
        <w:t>8</w:t>
      </w:r>
      <w:r w:rsidR="00507287">
        <w:rPr>
          <w:rFonts w:cs="Arial"/>
        </w:rPr>
        <w:t>/1</w:t>
      </w:r>
      <w:r w:rsidR="00A22A47">
        <w:rPr>
          <w:rFonts w:cs="Arial"/>
        </w:rPr>
        <w:t>9</w:t>
      </w:r>
      <w:r w:rsidR="00507287">
        <w:rPr>
          <w:rFonts w:cs="Arial"/>
        </w:rPr>
        <w:t xml:space="preserve"> to 20</w:t>
      </w:r>
      <w:r w:rsidR="002C2483">
        <w:rPr>
          <w:rFonts w:cs="Arial"/>
        </w:rPr>
        <w:t>2</w:t>
      </w:r>
      <w:r w:rsidR="00A22A47">
        <w:rPr>
          <w:rFonts w:cs="Arial"/>
        </w:rPr>
        <w:t>1</w:t>
      </w:r>
      <w:r w:rsidR="00507287">
        <w:rPr>
          <w:rFonts w:cs="Arial"/>
        </w:rPr>
        <w:t>/</w:t>
      </w:r>
      <w:r w:rsidR="005501CA">
        <w:rPr>
          <w:rFonts w:cs="Arial"/>
        </w:rPr>
        <w:t>2</w:t>
      </w:r>
      <w:r w:rsidR="00A22A47">
        <w:rPr>
          <w:rFonts w:cs="Arial"/>
        </w:rPr>
        <w:t>2</w:t>
      </w:r>
      <w:r w:rsidR="00507287">
        <w:rPr>
          <w:rFonts w:cs="Arial"/>
        </w:rPr>
        <w:t xml:space="preserve"> </w:t>
      </w:r>
      <w:r>
        <w:rPr>
          <w:rFonts w:cs="Arial"/>
        </w:rPr>
        <w:t xml:space="preserve">and gives interested parties the opportunity to comment and be consulted </w:t>
      </w:r>
      <w:r w:rsidR="00CD3973">
        <w:rPr>
          <w:rFonts w:cs="Arial"/>
        </w:rPr>
        <w:t>on</w:t>
      </w:r>
      <w:r>
        <w:rPr>
          <w:rFonts w:cs="Arial"/>
        </w:rPr>
        <w:t xml:space="preserve"> the Council</w:t>
      </w:r>
      <w:r w:rsidR="00CD3973">
        <w:rPr>
          <w:rFonts w:cs="Arial"/>
        </w:rPr>
        <w:t>’</w:t>
      </w:r>
      <w:r>
        <w:rPr>
          <w:rFonts w:cs="Arial"/>
        </w:rPr>
        <w:t xml:space="preserve">s budget </w:t>
      </w:r>
      <w:r w:rsidR="00CD3973">
        <w:rPr>
          <w:rFonts w:cs="Arial"/>
        </w:rPr>
        <w:t xml:space="preserve">proposals </w:t>
      </w:r>
      <w:r>
        <w:rPr>
          <w:rFonts w:cs="Arial"/>
        </w:rPr>
        <w:t xml:space="preserve">for the financial year </w:t>
      </w:r>
      <w:r w:rsidR="00CD3973">
        <w:rPr>
          <w:rFonts w:cs="Arial"/>
        </w:rPr>
        <w:t>(</w:t>
      </w:r>
      <w:r>
        <w:rPr>
          <w:rFonts w:cs="Arial"/>
        </w:rPr>
        <w:t>201</w:t>
      </w:r>
      <w:r w:rsidR="00A22A47">
        <w:rPr>
          <w:rFonts w:cs="Arial"/>
        </w:rPr>
        <w:t>8</w:t>
      </w:r>
      <w:r>
        <w:rPr>
          <w:rFonts w:cs="Arial"/>
        </w:rPr>
        <w:t>/1</w:t>
      </w:r>
      <w:r w:rsidR="00A22A47">
        <w:rPr>
          <w:rFonts w:cs="Arial"/>
        </w:rPr>
        <w:t>9</w:t>
      </w:r>
      <w:r w:rsidR="00CD3973">
        <w:rPr>
          <w:rFonts w:cs="Arial"/>
        </w:rPr>
        <w:t>)</w:t>
      </w:r>
      <w:r>
        <w:rPr>
          <w:rFonts w:cs="Arial"/>
        </w:rPr>
        <w:t>. The report covers all aspects of the Council</w:t>
      </w:r>
      <w:r w:rsidR="00CD3973">
        <w:rPr>
          <w:rFonts w:cs="Arial"/>
        </w:rPr>
        <w:t>’</w:t>
      </w:r>
      <w:r>
        <w:rPr>
          <w:rFonts w:cs="Arial"/>
        </w:rPr>
        <w:t>s spend</w:t>
      </w:r>
      <w:r w:rsidR="00CD3973">
        <w:rPr>
          <w:rFonts w:cs="Arial"/>
        </w:rPr>
        <w:t>:</w:t>
      </w:r>
      <w:r>
        <w:rPr>
          <w:rFonts w:cs="Arial"/>
        </w:rPr>
        <w:t xml:space="preserve"> General Fund </w:t>
      </w:r>
      <w:r w:rsidR="005C72B1">
        <w:rPr>
          <w:rFonts w:cs="Arial"/>
        </w:rPr>
        <w:t>r</w:t>
      </w:r>
      <w:r>
        <w:rPr>
          <w:rFonts w:cs="Arial"/>
        </w:rPr>
        <w:t>evenue expenditure funded by the council tax payer</w:t>
      </w:r>
      <w:r w:rsidR="003F6421">
        <w:rPr>
          <w:rFonts w:cs="Arial"/>
        </w:rPr>
        <w:t>, government grant and other sources of income</w:t>
      </w:r>
      <w:r>
        <w:rPr>
          <w:rFonts w:cs="Arial"/>
        </w:rPr>
        <w:t>, Housing Revenue Account</w:t>
      </w:r>
      <w:r w:rsidR="00CD3973">
        <w:rPr>
          <w:rFonts w:cs="Arial"/>
        </w:rPr>
        <w:t xml:space="preserve"> </w:t>
      </w:r>
      <w:r w:rsidR="003F6421">
        <w:rPr>
          <w:rFonts w:cs="Arial"/>
        </w:rPr>
        <w:t xml:space="preserve">(HRA) </w:t>
      </w:r>
      <w:r w:rsidR="00AA73D4">
        <w:rPr>
          <w:rFonts w:cs="Arial"/>
        </w:rPr>
        <w:t>expenditure</w:t>
      </w:r>
      <w:r>
        <w:rPr>
          <w:rFonts w:cs="Arial"/>
        </w:rPr>
        <w:t>, funded by council tenants</w:t>
      </w:r>
      <w:r w:rsidR="003F6421">
        <w:rPr>
          <w:rFonts w:cs="Arial"/>
        </w:rPr>
        <w:t>’ rents,</w:t>
      </w:r>
      <w:r>
        <w:rPr>
          <w:rFonts w:cs="Arial"/>
        </w:rPr>
        <w:t xml:space="preserve"> and the Council</w:t>
      </w:r>
      <w:r w:rsidR="00CD3973">
        <w:rPr>
          <w:rFonts w:cs="Arial"/>
        </w:rPr>
        <w:t>’</w:t>
      </w:r>
      <w:r>
        <w:rPr>
          <w:rFonts w:cs="Arial"/>
        </w:rPr>
        <w:t>s Capital Programme</w:t>
      </w:r>
      <w:r w:rsidR="003F6421">
        <w:rPr>
          <w:rFonts w:cs="Arial"/>
        </w:rPr>
        <w:t>s (General Fund and HRA)</w:t>
      </w:r>
      <w:r>
        <w:rPr>
          <w:rFonts w:cs="Arial"/>
        </w:rPr>
        <w:t xml:space="preserve"> funded by Capital Receipts, revenue and borrowing.</w:t>
      </w:r>
    </w:p>
    <w:p w14:paraId="0A728A93" w14:textId="77777777" w:rsidR="00367883" w:rsidRDefault="00367883" w:rsidP="00942056">
      <w:pPr>
        <w:tabs>
          <w:tab w:val="num" w:pos="567"/>
        </w:tabs>
        <w:ind w:left="567" w:right="386" w:hanging="567"/>
        <w:jc w:val="both"/>
        <w:rPr>
          <w:rFonts w:cs="Arial"/>
        </w:rPr>
      </w:pPr>
    </w:p>
    <w:p w14:paraId="673AE75E" w14:textId="77777777" w:rsidR="00367883" w:rsidRPr="009A4457" w:rsidRDefault="00367883" w:rsidP="00302C27">
      <w:pPr>
        <w:numPr>
          <w:ilvl w:val="0"/>
          <w:numId w:val="3"/>
        </w:numPr>
        <w:tabs>
          <w:tab w:val="clear" w:pos="1440"/>
          <w:tab w:val="num" w:pos="567"/>
        </w:tabs>
        <w:ind w:left="567" w:right="386" w:hanging="567"/>
        <w:jc w:val="both"/>
        <w:rPr>
          <w:rFonts w:cs="Arial"/>
        </w:rPr>
      </w:pPr>
      <w:r w:rsidRPr="009A4457">
        <w:rPr>
          <w:rFonts w:cs="Arial"/>
        </w:rPr>
        <w:lastRenderedPageBreak/>
        <w:t>The propos</w:t>
      </w:r>
      <w:r w:rsidR="00017EC1">
        <w:rPr>
          <w:rFonts w:cs="Arial"/>
        </w:rPr>
        <w:t>ed</w:t>
      </w:r>
      <w:r w:rsidRPr="009A4457">
        <w:rPr>
          <w:rFonts w:cs="Arial"/>
        </w:rPr>
        <w:t xml:space="preserve"> M</w:t>
      </w:r>
      <w:r w:rsidR="000D4044">
        <w:rPr>
          <w:rFonts w:cs="Arial"/>
        </w:rPr>
        <w:t xml:space="preserve">edium </w:t>
      </w:r>
      <w:r w:rsidRPr="009A4457">
        <w:rPr>
          <w:rFonts w:cs="Arial"/>
        </w:rPr>
        <w:t>T</w:t>
      </w:r>
      <w:r w:rsidR="000D4044">
        <w:rPr>
          <w:rFonts w:cs="Arial"/>
        </w:rPr>
        <w:t xml:space="preserve">erm </w:t>
      </w:r>
      <w:r w:rsidRPr="009A4457">
        <w:rPr>
          <w:rFonts w:cs="Arial"/>
        </w:rPr>
        <w:t>F</w:t>
      </w:r>
      <w:r w:rsidR="000D4044">
        <w:rPr>
          <w:rFonts w:cs="Arial"/>
        </w:rPr>
        <w:t xml:space="preserve">inancial </w:t>
      </w:r>
      <w:r w:rsidRPr="009A4457">
        <w:rPr>
          <w:rFonts w:cs="Arial"/>
        </w:rPr>
        <w:t>S</w:t>
      </w:r>
      <w:r w:rsidR="000D4044">
        <w:rPr>
          <w:rFonts w:cs="Arial"/>
        </w:rPr>
        <w:t>trategy</w:t>
      </w:r>
      <w:r w:rsidRPr="009A4457">
        <w:rPr>
          <w:rFonts w:cs="Arial"/>
        </w:rPr>
        <w:t>:</w:t>
      </w:r>
    </w:p>
    <w:p w14:paraId="59CAE34E" w14:textId="77777777" w:rsidR="00367883" w:rsidRPr="009A4457" w:rsidRDefault="00367883" w:rsidP="00942056">
      <w:pPr>
        <w:pStyle w:val="ListParagraph"/>
        <w:tabs>
          <w:tab w:val="num" w:pos="567"/>
        </w:tabs>
        <w:ind w:left="567" w:hanging="567"/>
        <w:rPr>
          <w:rFonts w:cs="Arial"/>
        </w:rPr>
      </w:pPr>
    </w:p>
    <w:p w14:paraId="577EFF3A" w14:textId="77777777" w:rsidR="00367883" w:rsidRPr="009A4457" w:rsidRDefault="00367883" w:rsidP="006C4C35">
      <w:pPr>
        <w:pStyle w:val="ListParagraph"/>
        <w:numPr>
          <w:ilvl w:val="0"/>
          <w:numId w:val="9"/>
        </w:numPr>
        <w:tabs>
          <w:tab w:val="num" w:pos="1134"/>
        </w:tabs>
        <w:ind w:left="1134" w:hanging="567"/>
        <w:rPr>
          <w:rFonts w:cs="Arial"/>
        </w:rPr>
      </w:pPr>
      <w:r w:rsidRPr="009A4457">
        <w:rPr>
          <w:rFonts w:cs="Arial"/>
        </w:rPr>
        <w:t>Is financially balanced over the 4 year period;</w:t>
      </w:r>
    </w:p>
    <w:p w14:paraId="3E123062" w14:textId="77777777" w:rsidR="00367883" w:rsidRDefault="00367883" w:rsidP="006C4C35">
      <w:pPr>
        <w:pStyle w:val="ListParagraph"/>
        <w:numPr>
          <w:ilvl w:val="0"/>
          <w:numId w:val="9"/>
        </w:numPr>
        <w:tabs>
          <w:tab w:val="num" w:pos="1134"/>
        </w:tabs>
        <w:ind w:left="1134" w:hanging="567"/>
        <w:rPr>
          <w:rFonts w:cs="Arial"/>
        </w:rPr>
      </w:pPr>
      <w:r w:rsidRPr="009A4457">
        <w:rPr>
          <w:rFonts w:cs="Arial"/>
        </w:rPr>
        <w:t xml:space="preserve">Assumes </w:t>
      </w:r>
      <w:r w:rsidR="009E1578">
        <w:rPr>
          <w:rFonts w:cs="Arial"/>
        </w:rPr>
        <w:t>Revenue Support G</w:t>
      </w:r>
      <w:r w:rsidRPr="009A4457">
        <w:rPr>
          <w:rFonts w:cs="Arial"/>
        </w:rPr>
        <w:t xml:space="preserve">rant from government reduces to zero </w:t>
      </w:r>
      <w:r w:rsidR="0015339C">
        <w:rPr>
          <w:rFonts w:cs="Arial"/>
        </w:rPr>
        <w:t>by 1/4/2019</w:t>
      </w:r>
      <w:r w:rsidRPr="009A4457">
        <w:rPr>
          <w:rFonts w:cs="Arial"/>
        </w:rPr>
        <w:t>;</w:t>
      </w:r>
    </w:p>
    <w:p w14:paraId="5AD6F10C" w14:textId="77777777" w:rsidR="00ED6871" w:rsidRDefault="00ED6871" w:rsidP="006C4C35">
      <w:pPr>
        <w:pStyle w:val="ListParagraph"/>
        <w:numPr>
          <w:ilvl w:val="0"/>
          <w:numId w:val="9"/>
        </w:numPr>
        <w:tabs>
          <w:tab w:val="num" w:pos="1134"/>
        </w:tabs>
        <w:ind w:left="1134" w:hanging="567"/>
        <w:rPr>
          <w:rFonts w:cs="Arial"/>
        </w:rPr>
      </w:pPr>
      <w:r>
        <w:rPr>
          <w:rFonts w:cs="Arial"/>
        </w:rPr>
        <w:t>Assumes New Homes Bonus is used to fi</w:t>
      </w:r>
      <w:r w:rsidR="003531A4">
        <w:rPr>
          <w:rFonts w:cs="Arial"/>
        </w:rPr>
        <w:t>nance</w:t>
      </w:r>
      <w:r>
        <w:rPr>
          <w:rFonts w:cs="Arial"/>
        </w:rPr>
        <w:t xml:space="preserve"> the </w:t>
      </w:r>
      <w:r w:rsidR="003531A4">
        <w:rPr>
          <w:rFonts w:cs="Arial"/>
        </w:rPr>
        <w:t>Capital Programme</w:t>
      </w:r>
      <w:r w:rsidR="00170DF8">
        <w:rPr>
          <w:rFonts w:cs="Arial"/>
        </w:rPr>
        <w:t xml:space="preserve"> rather than ongoing revenue expenditure</w:t>
      </w:r>
    </w:p>
    <w:p w14:paraId="02EA4436" w14:textId="77777777" w:rsidR="00ED6871" w:rsidRPr="009A4457" w:rsidRDefault="00ED6871" w:rsidP="006C4C35">
      <w:pPr>
        <w:pStyle w:val="ListParagraph"/>
        <w:numPr>
          <w:ilvl w:val="0"/>
          <w:numId w:val="9"/>
        </w:numPr>
        <w:tabs>
          <w:tab w:val="num" w:pos="1134"/>
        </w:tabs>
        <w:ind w:left="1134" w:hanging="567"/>
        <w:rPr>
          <w:rFonts w:cs="Arial"/>
        </w:rPr>
      </w:pPr>
      <w:r>
        <w:rPr>
          <w:rFonts w:cs="Arial"/>
        </w:rPr>
        <w:t xml:space="preserve">Assumes contingencies of </w:t>
      </w:r>
      <w:r w:rsidR="00371E47">
        <w:rPr>
          <w:rFonts w:cs="Arial"/>
        </w:rPr>
        <w:t>3</w:t>
      </w:r>
      <w:r>
        <w:rPr>
          <w:rFonts w:cs="Arial"/>
        </w:rPr>
        <w:t>0% are held against the achievement of high risk efficiencies and fees and charges increases</w:t>
      </w:r>
    </w:p>
    <w:p w14:paraId="70477FD7" w14:textId="77777777" w:rsidR="00367883" w:rsidRPr="00F142A6" w:rsidRDefault="000D4044" w:rsidP="006C4C35">
      <w:pPr>
        <w:pStyle w:val="ListParagraph"/>
        <w:numPr>
          <w:ilvl w:val="0"/>
          <w:numId w:val="9"/>
        </w:numPr>
        <w:tabs>
          <w:tab w:val="num" w:pos="1134"/>
        </w:tabs>
        <w:ind w:left="1134" w:hanging="567"/>
        <w:rPr>
          <w:rFonts w:cs="Arial"/>
        </w:rPr>
      </w:pPr>
      <w:r>
        <w:rPr>
          <w:rFonts w:cs="Arial"/>
        </w:rPr>
        <w:t>A</w:t>
      </w:r>
      <w:r w:rsidR="006D3F6B">
        <w:rPr>
          <w:rFonts w:cs="Arial"/>
        </w:rPr>
        <w:t>ssumes</w:t>
      </w:r>
      <w:r>
        <w:rPr>
          <w:rFonts w:cs="Arial"/>
        </w:rPr>
        <w:t xml:space="preserve"> </w:t>
      </w:r>
      <w:r w:rsidR="00ED6871">
        <w:rPr>
          <w:rFonts w:cs="Arial"/>
        </w:rPr>
        <w:t xml:space="preserve">annual </w:t>
      </w:r>
      <w:r w:rsidR="00367883" w:rsidRPr="009A4457">
        <w:rPr>
          <w:rFonts w:cs="Arial"/>
        </w:rPr>
        <w:t xml:space="preserve">Council Tax </w:t>
      </w:r>
      <w:r w:rsidR="00ED6871">
        <w:rPr>
          <w:rFonts w:cs="Arial"/>
        </w:rPr>
        <w:t xml:space="preserve">increases </w:t>
      </w:r>
      <w:r w:rsidR="00C149B2" w:rsidRPr="00AC1E36">
        <w:rPr>
          <w:rFonts w:cs="Arial"/>
        </w:rPr>
        <w:t xml:space="preserve">of </w:t>
      </w:r>
      <w:r w:rsidR="003F6421">
        <w:rPr>
          <w:rFonts w:cs="Arial"/>
        </w:rPr>
        <w:t>1.99</w:t>
      </w:r>
      <w:r w:rsidR="00367883" w:rsidRPr="00AC1E36">
        <w:rPr>
          <w:rFonts w:cs="Arial"/>
        </w:rPr>
        <w:t xml:space="preserve">% </w:t>
      </w:r>
    </w:p>
    <w:p w14:paraId="02004C1B" w14:textId="77777777" w:rsidR="00367883" w:rsidRPr="0041193C" w:rsidRDefault="006D3F6B" w:rsidP="006C4C35">
      <w:pPr>
        <w:pStyle w:val="ListParagraph"/>
        <w:numPr>
          <w:ilvl w:val="0"/>
          <w:numId w:val="9"/>
        </w:numPr>
        <w:tabs>
          <w:tab w:val="num" w:pos="1134"/>
        </w:tabs>
        <w:ind w:left="1134" w:hanging="567"/>
        <w:rPr>
          <w:rFonts w:cs="Arial"/>
        </w:rPr>
      </w:pPr>
      <w:r w:rsidRPr="0041193C">
        <w:rPr>
          <w:rFonts w:cs="Arial"/>
        </w:rPr>
        <w:t xml:space="preserve">Includes </w:t>
      </w:r>
      <w:r w:rsidR="00367883" w:rsidRPr="0041193C">
        <w:rPr>
          <w:rFonts w:cs="Arial"/>
        </w:rPr>
        <w:t>£</w:t>
      </w:r>
      <w:r w:rsidR="00F87E0F" w:rsidRPr="0041193C">
        <w:rPr>
          <w:rFonts w:cs="Arial"/>
        </w:rPr>
        <w:t>1</w:t>
      </w:r>
      <w:r w:rsidR="00F142A6" w:rsidRPr="0041193C">
        <w:rPr>
          <w:rFonts w:cs="Arial"/>
        </w:rPr>
        <w:t>2</w:t>
      </w:r>
      <w:r w:rsidR="00F87E0F" w:rsidRPr="0041193C">
        <w:rPr>
          <w:rFonts w:cs="Arial"/>
        </w:rPr>
        <w:t xml:space="preserve"> million</w:t>
      </w:r>
      <w:r w:rsidR="00367883" w:rsidRPr="0041193C">
        <w:rPr>
          <w:rFonts w:cs="Arial"/>
        </w:rPr>
        <w:t xml:space="preserve"> of efficiencies, increased income and services changes across the 4 years;</w:t>
      </w:r>
    </w:p>
    <w:p w14:paraId="607448B3" w14:textId="77777777" w:rsidR="00367883" w:rsidRPr="0041193C" w:rsidRDefault="009829F6" w:rsidP="006C4C35">
      <w:pPr>
        <w:pStyle w:val="ListParagraph"/>
        <w:numPr>
          <w:ilvl w:val="0"/>
          <w:numId w:val="9"/>
        </w:numPr>
        <w:shd w:val="clear" w:color="auto" w:fill="FFFFFF"/>
        <w:tabs>
          <w:tab w:val="num" w:pos="1134"/>
        </w:tabs>
        <w:ind w:left="1134" w:hanging="567"/>
        <w:rPr>
          <w:rFonts w:cs="Arial"/>
        </w:rPr>
      </w:pPr>
      <w:r w:rsidRPr="0041193C">
        <w:rPr>
          <w:rFonts w:cs="Arial"/>
        </w:rPr>
        <w:t xml:space="preserve">Facilitates </w:t>
      </w:r>
      <w:r w:rsidR="00367883" w:rsidRPr="0041193C">
        <w:rPr>
          <w:rFonts w:cs="Arial"/>
        </w:rPr>
        <w:t>capital investment o</w:t>
      </w:r>
      <w:r w:rsidR="00AC1E36" w:rsidRPr="0041193C">
        <w:rPr>
          <w:rFonts w:cs="Arial"/>
        </w:rPr>
        <w:t>f</w:t>
      </w:r>
      <w:r w:rsidR="00367883" w:rsidRPr="0041193C">
        <w:rPr>
          <w:rFonts w:cs="Arial"/>
        </w:rPr>
        <w:t xml:space="preserve"> </w:t>
      </w:r>
      <w:r w:rsidR="00371E47">
        <w:rPr>
          <w:rFonts w:cs="Arial"/>
        </w:rPr>
        <w:t xml:space="preserve">over </w:t>
      </w:r>
      <w:r w:rsidR="00367883" w:rsidRPr="0041193C">
        <w:rPr>
          <w:rFonts w:cs="Arial"/>
        </w:rPr>
        <w:t>£</w:t>
      </w:r>
      <w:r w:rsidR="00245C11" w:rsidRPr="0041193C">
        <w:rPr>
          <w:rFonts w:cs="Arial"/>
        </w:rPr>
        <w:t>2</w:t>
      </w:r>
      <w:r w:rsidR="007B2768">
        <w:rPr>
          <w:rFonts w:cs="Arial"/>
        </w:rPr>
        <w:t>25</w:t>
      </w:r>
      <w:r w:rsidR="00C33670" w:rsidRPr="0041193C">
        <w:rPr>
          <w:rFonts w:cs="Arial"/>
        </w:rPr>
        <w:t xml:space="preserve"> million</w:t>
      </w:r>
      <w:r w:rsidR="00367883" w:rsidRPr="0041193C">
        <w:rPr>
          <w:rFonts w:cs="Arial"/>
        </w:rPr>
        <w:t xml:space="preserve"> </w:t>
      </w:r>
      <w:r w:rsidR="00C33670" w:rsidRPr="0041193C">
        <w:rPr>
          <w:rFonts w:cs="Arial"/>
        </w:rPr>
        <w:t xml:space="preserve">over the four year period </w:t>
      </w:r>
      <w:r w:rsidRPr="0041193C">
        <w:rPr>
          <w:rFonts w:cs="Arial"/>
        </w:rPr>
        <w:t>including:</w:t>
      </w:r>
    </w:p>
    <w:p w14:paraId="6815F144" w14:textId="77777777" w:rsidR="00C33670" w:rsidRDefault="00A06FF7" w:rsidP="006C4C35">
      <w:pPr>
        <w:pStyle w:val="ListParagraph"/>
        <w:numPr>
          <w:ilvl w:val="2"/>
          <w:numId w:val="9"/>
        </w:numPr>
        <w:tabs>
          <w:tab w:val="num" w:pos="2268"/>
        </w:tabs>
        <w:ind w:left="1985" w:firstLine="0"/>
        <w:rPr>
          <w:rFonts w:cs="Arial"/>
        </w:rPr>
      </w:pPr>
      <w:r w:rsidRPr="0041193C">
        <w:rPr>
          <w:rFonts w:cs="Arial"/>
        </w:rPr>
        <w:t xml:space="preserve">Regeneration </w:t>
      </w:r>
      <w:r w:rsidR="00F97F9F" w:rsidRPr="0041193C">
        <w:rPr>
          <w:rFonts w:cs="Arial"/>
        </w:rPr>
        <w:t xml:space="preserve">in the </w:t>
      </w:r>
      <w:r w:rsidR="009E1578">
        <w:rPr>
          <w:rFonts w:cs="Arial"/>
        </w:rPr>
        <w:t>C</w:t>
      </w:r>
      <w:r w:rsidR="00F97F9F" w:rsidRPr="0041193C">
        <w:rPr>
          <w:rFonts w:cs="Arial"/>
        </w:rPr>
        <w:t xml:space="preserve">ity </w:t>
      </w:r>
    </w:p>
    <w:p w14:paraId="2CD5A04F" w14:textId="77777777" w:rsidR="00371E47" w:rsidRPr="00390239" w:rsidRDefault="00371E47" w:rsidP="006C4C35">
      <w:pPr>
        <w:pStyle w:val="ListParagraph"/>
        <w:numPr>
          <w:ilvl w:val="2"/>
          <w:numId w:val="9"/>
        </w:numPr>
        <w:tabs>
          <w:tab w:val="num" w:pos="2268"/>
        </w:tabs>
        <w:ind w:left="1985" w:firstLine="0"/>
        <w:rPr>
          <w:rFonts w:cs="Arial"/>
        </w:rPr>
      </w:pPr>
      <w:r w:rsidRPr="00390239">
        <w:rPr>
          <w:rFonts w:cs="Arial"/>
        </w:rPr>
        <w:t>Museum of Oxford</w:t>
      </w:r>
    </w:p>
    <w:p w14:paraId="1A73D20A" w14:textId="77777777" w:rsidR="00371E47" w:rsidRPr="00390239" w:rsidRDefault="00371E47" w:rsidP="006C4C35">
      <w:pPr>
        <w:pStyle w:val="ListParagraph"/>
        <w:numPr>
          <w:ilvl w:val="2"/>
          <w:numId w:val="9"/>
        </w:numPr>
        <w:tabs>
          <w:tab w:val="num" w:pos="2268"/>
        </w:tabs>
        <w:ind w:left="1985" w:firstLine="0"/>
        <w:rPr>
          <w:rFonts w:cs="Arial"/>
        </w:rPr>
      </w:pPr>
      <w:r w:rsidRPr="00390239">
        <w:rPr>
          <w:rFonts w:cs="Arial"/>
        </w:rPr>
        <w:t>East Oxford Community Centre</w:t>
      </w:r>
    </w:p>
    <w:p w14:paraId="684D8D37" w14:textId="77777777" w:rsidR="00F87E0F" w:rsidRPr="00390239" w:rsidRDefault="00F87E0F" w:rsidP="006C4C35">
      <w:pPr>
        <w:pStyle w:val="ListParagraph"/>
        <w:numPr>
          <w:ilvl w:val="2"/>
          <w:numId w:val="9"/>
        </w:numPr>
        <w:tabs>
          <w:tab w:val="num" w:pos="2268"/>
        </w:tabs>
        <w:ind w:left="2268" w:hanging="283"/>
        <w:rPr>
          <w:rFonts w:cs="Arial"/>
        </w:rPr>
      </w:pPr>
      <w:r w:rsidRPr="00390239">
        <w:rPr>
          <w:rFonts w:cs="Arial"/>
        </w:rPr>
        <w:t xml:space="preserve">Flood </w:t>
      </w:r>
      <w:r w:rsidR="003F4A26" w:rsidRPr="00390239">
        <w:rPr>
          <w:rFonts w:cs="Arial"/>
        </w:rPr>
        <w:t>alleviation at Northway &amp; Marston</w:t>
      </w:r>
      <w:r w:rsidR="00157316" w:rsidRPr="00390239">
        <w:rPr>
          <w:rFonts w:cs="Arial"/>
        </w:rPr>
        <w:t xml:space="preserve"> and contributing £1.5 million to the Oxford and Abingdon flood alleviation scheme</w:t>
      </w:r>
    </w:p>
    <w:p w14:paraId="022F710B" w14:textId="77777777" w:rsidR="00C33670" w:rsidRPr="00390239" w:rsidRDefault="00F97F9F" w:rsidP="006C4C35">
      <w:pPr>
        <w:pStyle w:val="ListParagraph"/>
        <w:numPr>
          <w:ilvl w:val="2"/>
          <w:numId w:val="9"/>
        </w:numPr>
        <w:tabs>
          <w:tab w:val="num" w:pos="2268"/>
        </w:tabs>
        <w:ind w:left="1985" w:firstLine="0"/>
        <w:rPr>
          <w:rFonts w:cs="Arial"/>
        </w:rPr>
      </w:pPr>
      <w:r w:rsidRPr="00390239">
        <w:rPr>
          <w:rFonts w:cs="Arial"/>
        </w:rPr>
        <w:t>Community Centre and Sports Pavilion new build an</w:t>
      </w:r>
      <w:r w:rsidR="00FB08E2" w:rsidRPr="00390239">
        <w:rPr>
          <w:rFonts w:cs="Arial"/>
        </w:rPr>
        <w:t>d</w:t>
      </w:r>
      <w:r w:rsidRPr="00390239">
        <w:rPr>
          <w:rFonts w:cs="Arial"/>
        </w:rPr>
        <w:t xml:space="preserve"> refurbishment</w:t>
      </w:r>
    </w:p>
    <w:p w14:paraId="71106259" w14:textId="77777777" w:rsidR="00C33670" w:rsidRPr="00390239" w:rsidRDefault="00C33670" w:rsidP="006C4C35">
      <w:pPr>
        <w:pStyle w:val="ListParagraph"/>
        <w:numPr>
          <w:ilvl w:val="2"/>
          <w:numId w:val="9"/>
        </w:numPr>
        <w:tabs>
          <w:tab w:val="num" w:pos="2268"/>
        </w:tabs>
        <w:ind w:left="1985" w:firstLine="0"/>
        <w:rPr>
          <w:rFonts w:cs="Arial"/>
        </w:rPr>
      </w:pPr>
      <w:r w:rsidRPr="00390239">
        <w:rPr>
          <w:rFonts w:cs="Arial"/>
        </w:rPr>
        <w:t xml:space="preserve">Car parks refurbishment and </w:t>
      </w:r>
      <w:r w:rsidR="00A06FF7" w:rsidRPr="00390239">
        <w:rPr>
          <w:rFonts w:cs="Arial"/>
        </w:rPr>
        <w:t>improvement</w:t>
      </w:r>
    </w:p>
    <w:p w14:paraId="1C99E8BF" w14:textId="189349DC" w:rsidR="00F87E0F" w:rsidRPr="0041193C" w:rsidRDefault="002F21DD" w:rsidP="006C4C35">
      <w:pPr>
        <w:pStyle w:val="ListParagraph"/>
        <w:numPr>
          <w:ilvl w:val="2"/>
          <w:numId w:val="9"/>
        </w:numPr>
        <w:tabs>
          <w:tab w:val="num" w:pos="2268"/>
        </w:tabs>
        <w:ind w:left="2268" w:hanging="283"/>
        <w:rPr>
          <w:rFonts w:cs="Arial"/>
        </w:rPr>
      </w:pPr>
      <w:r w:rsidRPr="00390239">
        <w:rPr>
          <w:rFonts w:cs="Arial"/>
        </w:rPr>
        <w:t>Purchase of</w:t>
      </w:r>
      <w:r w:rsidRPr="0041193C">
        <w:rPr>
          <w:rFonts w:cs="Arial"/>
        </w:rPr>
        <w:t xml:space="preserve"> h</w:t>
      </w:r>
      <w:r w:rsidR="00F87E0F" w:rsidRPr="0041193C">
        <w:rPr>
          <w:rFonts w:cs="Arial"/>
        </w:rPr>
        <w:t xml:space="preserve">omes for </w:t>
      </w:r>
      <w:r w:rsidR="003F6421" w:rsidRPr="0041193C">
        <w:rPr>
          <w:rFonts w:cs="Arial"/>
        </w:rPr>
        <w:t xml:space="preserve">local </w:t>
      </w:r>
      <w:r w:rsidR="00F87E0F" w:rsidRPr="0041193C">
        <w:rPr>
          <w:rFonts w:cs="Arial"/>
        </w:rPr>
        <w:t>homeless families</w:t>
      </w:r>
      <w:r w:rsidRPr="0041193C">
        <w:rPr>
          <w:rFonts w:cs="Arial"/>
        </w:rPr>
        <w:t xml:space="preserve"> </w:t>
      </w:r>
    </w:p>
    <w:p w14:paraId="5782ADE5" w14:textId="77777777" w:rsidR="002F2660" w:rsidRPr="0041193C" w:rsidRDefault="002F2660" w:rsidP="006C4C35">
      <w:pPr>
        <w:pStyle w:val="ListParagraph"/>
        <w:numPr>
          <w:ilvl w:val="2"/>
          <w:numId w:val="9"/>
        </w:numPr>
        <w:tabs>
          <w:tab w:val="num" w:pos="2268"/>
        </w:tabs>
        <w:ind w:left="1985" w:firstLine="0"/>
        <w:rPr>
          <w:rFonts w:cs="Arial"/>
        </w:rPr>
      </w:pPr>
      <w:r w:rsidRPr="0041193C">
        <w:rPr>
          <w:rFonts w:cs="Arial"/>
        </w:rPr>
        <w:t xml:space="preserve">Improvements and refurbishments to council </w:t>
      </w:r>
      <w:r w:rsidR="00A32C96">
        <w:rPr>
          <w:rFonts w:cs="Arial"/>
        </w:rPr>
        <w:t>housing</w:t>
      </w:r>
    </w:p>
    <w:p w14:paraId="4B56011C" w14:textId="77777777" w:rsidR="002F2660" w:rsidRPr="0041193C" w:rsidRDefault="002F2660" w:rsidP="006C4C35">
      <w:pPr>
        <w:pStyle w:val="ListParagraph"/>
        <w:numPr>
          <w:ilvl w:val="2"/>
          <w:numId w:val="9"/>
        </w:numPr>
        <w:tabs>
          <w:tab w:val="num" w:pos="2268"/>
        </w:tabs>
        <w:ind w:left="1985" w:firstLine="0"/>
        <w:rPr>
          <w:rFonts w:cs="Arial"/>
        </w:rPr>
      </w:pPr>
      <w:r w:rsidRPr="0041193C">
        <w:rPr>
          <w:rFonts w:cs="Arial"/>
        </w:rPr>
        <w:t xml:space="preserve">Regeneration of </w:t>
      </w:r>
      <w:r w:rsidR="00ED6871" w:rsidRPr="0041193C">
        <w:rPr>
          <w:rFonts w:cs="Arial"/>
        </w:rPr>
        <w:t>c</w:t>
      </w:r>
      <w:r w:rsidRPr="0041193C">
        <w:rPr>
          <w:rFonts w:cs="Arial"/>
        </w:rPr>
        <w:t>ouncil estates</w:t>
      </w:r>
    </w:p>
    <w:p w14:paraId="5A957D6B" w14:textId="77777777" w:rsidR="002F2660" w:rsidRPr="0041193C" w:rsidRDefault="002F2660" w:rsidP="002F2660">
      <w:pPr>
        <w:pStyle w:val="ListParagraph"/>
        <w:ind w:left="1985"/>
        <w:rPr>
          <w:rFonts w:cs="Arial"/>
        </w:rPr>
      </w:pPr>
    </w:p>
    <w:p w14:paraId="33F957D9" w14:textId="77777777" w:rsidR="00FD0D00" w:rsidRDefault="00A22A47" w:rsidP="006C4C35">
      <w:pPr>
        <w:pStyle w:val="ListParagraph"/>
        <w:numPr>
          <w:ilvl w:val="0"/>
          <w:numId w:val="9"/>
        </w:numPr>
        <w:tabs>
          <w:tab w:val="num" w:pos="1134"/>
        </w:tabs>
        <w:ind w:left="1134" w:hanging="567"/>
        <w:rPr>
          <w:rFonts w:cs="Arial"/>
        </w:rPr>
      </w:pPr>
      <w:r w:rsidRPr="0041193C">
        <w:rPr>
          <w:rFonts w:cs="Arial"/>
        </w:rPr>
        <w:t>P</w:t>
      </w:r>
      <w:r w:rsidR="00F142A6" w:rsidRPr="0041193C">
        <w:rPr>
          <w:rFonts w:cs="Arial"/>
        </w:rPr>
        <w:t>rovides resou</w:t>
      </w:r>
      <w:r w:rsidR="00244A22" w:rsidRPr="0041193C">
        <w:rPr>
          <w:rFonts w:cs="Arial"/>
        </w:rPr>
        <w:t>r</w:t>
      </w:r>
      <w:r w:rsidR="00F142A6" w:rsidRPr="0041193C">
        <w:rPr>
          <w:rFonts w:cs="Arial"/>
        </w:rPr>
        <w:t xml:space="preserve">ces </w:t>
      </w:r>
      <w:r w:rsidR="00581DC5" w:rsidRPr="0041193C">
        <w:rPr>
          <w:rFonts w:cs="Arial"/>
        </w:rPr>
        <w:t xml:space="preserve">of </w:t>
      </w:r>
      <w:r w:rsidR="00F142A6" w:rsidRPr="0041193C">
        <w:rPr>
          <w:rFonts w:cs="Arial"/>
        </w:rPr>
        <w:t>£</w:t>
      </w:r>
      <w:r w:rsidR="00DE29ED">
        <w:rPr>
          <w:rFonts w:cs="Arial"/>
        </w:rPr>
        <w:t>61</w:t>
      </w:r>
      <w:r w:rsidR="00F142A6" w:rsidRPr="0041193C">
        <w:rPr>
          <w:rFonts w:cs="Arial"/>
        </w:rPr>
        <w:t xml:space="preserve">million </w:t>
      </w:r>
      <w:r w:rsidR="00581DC5" w:rsidRPr="0041193C">
        <w:rPr>
          <w:rFonts w:cs="Arial"/>
        </w:rPr>
        <w:t>for use</w:t>
      </w:r>
      <w:r w:rsidR="00F142A6" w:rsidRPr="0041193C">
        <w:rPr>
          <w:rFonts w:cs="Arial"/>
        </w:rPr>
        <w:t xml:space="preserve"> by the Housing Company </w:t>
      </w:r>
      <w:r w:rsidR="00A32C96">
        <w:rPr>
          <w:rFonts w:cs="Arial"/>
        </w:rPr>
        <w:t>for</w:t>
      </w:r>
      <w:r w:rsidR="00F142A6" w:rsidRPr="0041193C">
        <w:rPr>
          <w:rFonts w:cs="Arial"/>
        </w:rPr>
        <w:t xml:space="preserve"> the acquisition and building of around 500 new homes</w:t>
      </w:r>
    </w:p>
    <w:p w14:paraId="227EA714" w14:textId="77777777" w:rsidR="002F59E6" w:rsidRDefault="002F59E6" w:rsidP="002F59E6">
      <w:pPr>
        <w:ind w:left="567" w:right="386" w:hanging="567"/>
        <w:jc w:val="both"/>
        <w:rPr>
          <w:rFonts w:cs="Arial"/>
        </w:rPr>
      </w:pPr>
      <w:r>
        <w:rPr>
          <w:rFonts w:cs="Arial"/>
        </w:rPr>
        <w:tab/>
      </w:r>
    </w:p>
    <w:p w14:paraId="6FDC81EE" w14:textId="77777777" w:rsidR="00495477" w:rsidRPr="00FD400C" w:rsidRDefault="002F59E6" w:rsidP="002F59E6">
      <w:pPr>
        <w:ind w:left="567" w:right="386" w:hanging="567"/>
        <w:jc w:val="both"/>
        <w:rPr>
          <w:rFonts w:cs="Arial"/>
        </w:rPr>
      </w:pPr>
      <w:r>
        <w:rPr>
          <w:rFonts w:cs="Arial"/>
        </w:rPr>
        <w:t>3</w:t>
      </w:r>
      <w:r>
        <w:rPr>
          <w:rFonts w:cs="Arial"/>
        </w:rPr>
        <w:tab/>
      </w:r>
      <w:r w:rsidR="00256B2D">
        <w:rPr>
          <w:rFonts w:cs="Arial"/>
        </w:rPr>
        <w:t xml:space="preserve">In April 2016 the Council incorporated a Local Authority Trading Company (LATCO), Oxford Direct Services Ltd, to </w:t>
      </w:r>
      <w:r>
        <w:rPr>
          <w:rFonts w:cs="Arial"/>
        </w:rPr>
        <w:t>provide statutory services currently undertaken by Direct Services and also continue to trade commercially in the provision of waste collection. The Company will return income back to the Council in the form of dividends together with reduced costs for statutory services resulting from efficiencies which by 2021/22 are forecast to increase by £500k over those currently provided to the Council. The Company will become operational with effect from 1/4/2018 and the financial implications of the Company to the Council have been included in the Medium Term Financial Plan.</w:t>
      </w:r>
    </w:p>
    <w:p w14:paraId="7971753A" w14:textId="77777777" w:rsidR="00FD400C" w:rsidRPr="00FD400C" w:rsidRDefault="00FD400C" w:rsidP="00FD400C">
      <w:pPr>
        <w:pStyle w:val="ListParagraph"/>
        <w:ind w:left="1440" w:right="386"/>
        <w:jc w:val="both"/>
        <w:rPr>
          <w:rFonts w:cs="Arial"/>
        </w:rPr>
      </w:pPr>
    </w:p>
    <w:p w14:paraId="10AB3652" w14:textId="77777777" w:rsidR="00E51BBC" w:rsidRPr="00F142A6" w:rsidRDefault="00CC1EE8" w:rsidP="002F59E6">
      <w:pPr>
        <w:pStyle w:val="ListParagraph"/>
        <w:numPr>
          <w:ilvl w:val="0"/>
          <w:numId w:val="36"/>
        </w:numPr>
        <w:ind w:left="567" w:right="386" w:hanging="567"/>
        <w:jc w:val="both"/>
      </w:pPr>
      <w:r w:rsidRPr="002F59E6">
        <w:rPr>
          <w:rFonts w:cs="Arial"/>
        </w:rPr>
        <w:t>For ease of reading</w:t>
      </w:r>
      <w:r w:rsidR="00990B0D" w:rsidRPr="002F59E6">
        <w:rPr>
          <w:rFonts w:cs="Arial"/>
        </w:rPr>
        <w:t>;</w:t>
      </w:r>
      <w:r w:rsidRPr="002F59E6">
        <w:rPr>
          <w:rFonts w:cs="Arial"/>
        </w:rPr>
        <w:t xml:space="preserve"> the report is split into four sections </w:t>
      </w:r>
      <w:r w:rsidR="00E51BBC" w:rsidRPr="00F142A6">
        <w:t>:</w:t>
      </w:r>
    </w:p>
    <w:p w14:paraId="134FB232" w14:textId="77777777" w:rsidR="00427B24" w:rsidRPr="00F142A6" w:rsidRDefault="00427B24" w:rsidP="00427B24">
      <w:pPr>
        <w:tabs>
          <w:tab w:val="num" w:pos="567"/>
        </w:tabs>
        <w:ind w:left="567" w:right="386"/>
        <w:jc w:val="both"/>
      </w:pPr>
    </w:p>
    <w:p w14:paraId="7373E9CC" w14:textId="77777777" w:rsidR="00E51BBC" w:rsidRPr="00F142A6" w:rsidRDefault="00427B24" w:rsidP="00942056">
      <w:pPr>
        <w:tabs>
          <w:tab w:val="num" w:pos="567"/>
        </w:tabs>
        <w:ind w:left="567" w:right="386" w:hanging="567"/>
        <w:jc w:val="both"/>
        <w:rPr>
          <w:b/>
        </w:rPr>
      </w:pPr>
      <w:r w:rsidRPr="00F142A6">
        <w:tab/>
      </w:r>
      <w:r w:rsidR="00E51BBC" w:rsidRPr="00F142A6">
        <w:rPr>
          <w:b/>
        </w:rPr>
        <w:t xml:space="preserve">Section </w:t>
      </w:r>
      <w:proofErr w:type="gramStart"/>
      <w:r w:rsidR="00E51BBC" w:rsidRPr="00F142A6">
        <w:rPr>
          <w:b/>
        </w:rPr>
        <w:t>A</w:t>
      </w:r>
      <w:proofErr w:type="gramEnd"/>
      <w:r w:rsidR="00E51BBC" w:rsidRPr="00F142A6">
        <w:rPr>
          <w:b/>
        </w:rPr>
        <w:t xml:space="preserve"> Background and </w:t>
      </w:r>
      <w:r w:rsidR="003C1956" w:rsidRPr="00F142A6">
        <w:rPr>
          <w:b/>
        </w:rPr>
        <w:t>Context</w:t>
      </w:r>
      <w:r w:rsidR="001450F5" w:rsidRPr="00F142A6">
        <w:rPr>
          <w:b/>
        </w:rPr>
        <w:t xml:space="preserve"> </w:t>
      </w:r>
    </w:p>
    <w:p w14:paraId="40DD3BCF" w14:textId="77777777" w:rsidR="00E51BBC" w:rsidRPr="00F142A6" w:rsidRDefault="00A06FF7" w:rsidP="00942056">
      <w:pPr>
        <w:tabs>
          <w:tab w:val="num" w:pos="567"/>
        </w:tabs>
        <w:ind w:left="567" w:right="386" w:hanging="567"/>
        <w:jc w:val="both"/>
        <w:rPr>
          <w:b/>
        </w:rPr>
      </w:pPr>
      <w:r w:rsidRPr="00F142A6">
        <w:rPr>
          <w:b/>
        </w:rPr>
        <w:tab/>
      </w:r>
      <w:r w:rsidR="00E51BBC" w:rsidRPr="00F142A6">
        <w:rPr>
          <w:b/>
        </w:rPr>
        <w:t>Section B General Fund Revenue Budget</w:t>
      </w:r>
    </w:p>
    <w:p w14:paraId="024C420E" w14:textId="77777777" w:rsidR="00E51BBC" w:rsidRPr="00F142A6" w:rsidRDefault="00A06FF7" w:rsidP="00942056">
      <w:pPr>
        <w:tabs>
          <w:tab w:val="num" w:pos="567"/>
        </w:tabs>
        <w:ind w:left="567" w:right="386" w:hanging="567"/>
        <w:jc w:val="both"/>
        <w:rPr>
          <w:b/>
        </w:rPr>
      </w:pPr>
      <w:r w:rsidRPr="00F142A6">
        <w:rPr>
          <w:b/>
        </w:rPr>
        <w:tab/>
      </w:r>
      <w:r w:rsidR="00E51BBC" w:rsidRPr="00F142A6">
        <w:rPr>
          <w:b/>
        </w:rPr>
        <w:t>Section C</w:t>
      </w:r>
      <w:r w:rsidR="004C07CE" w:rsidRPr="00F142A6">
        <w:rPr>
          <w:b/>
        </w:rPr>
        <w:t xml:space="preserve"> Housing Revenue A</w:t>
      </w:r>
      <w:r w:rsidR="00E51BBC" w:rsidRPr="00F142A6">
        <w:rPr>
          <w:b/>
        </w:rPr>
        <w:t>ccount (HRA) Budget</w:t>
      </w:r>
    </w:p>
    <w:p w14:paraId="428EBBFF" w14:textId="77777777" w:rsidR="00E51BBC" w:rsidRPr="00F142A6" w:rsidRDefault="004B50C0" w:rsidP="00942056">
      <w:pPr>
        <w:tabs>
          <w:tab w:val="num" w:pos="567"/>
        </w:tabs>
        <w:ind w:left="567" w:right="386" w:hanging="567"/>
        <w:jc w:val="both"/>
        <w:rPr>
          <w:b/>
        </w:rPr>
      </w:pPr>
      <w:r w:rsidRPr="00F142A6">
        <w:rPr>
          <w:b/>
        </w:rPr>
        <w:tab/>
      </w:r>
      <w:r w:rsidR="00E51BBC" w:rsidRPr="00F142A6">
        <w:rPr>
          <w:b/>
        </w:rPr>
        <w:t xml:space="preserve">Section D Capital </w:t>
      </w:r>
      <w:r w:rsidR="005C72B1" w:rsidRPr="00F142A6">
        <w:rPr>
          <w:b/>
        </w:rPr>
        <w:t>Programme</w:t>
      </w:r>
    </w:p>
    <w:p w14:paraId="78CF0638" w14:textId="77777777" w:rsidR="00FE6AC6" w:rsidRPr="00F142A6" w:rsidRDefault="00FE6AC6" w:rsidP="00942056">
      <w:pPr>
        <w:tabs>
          <w:tab w:val="num" w:pos="567"/>
        </w:tabs>
        <w:ind w:left="567" w:right="386" w:hanging="567"/>
        <w:jc w:val="both"/>
        <w:rPr>
          <w:b/>
        </w:rPr>
      </w:pPr>
    </w:p>
    <w:p w14:paraId="4931E832" w14:textId="0B5A57FA" w:rsidR="000D75E5" w:rsidRPr="003B33E2" w:rsidRDefault="00E51BBC" w:rsidP="003B33E2">
      <w:pPr>
        <w:tabs>
          <w:tab w:val="num" w:pos="567"/>
        </w:tabs>
        <w:spacing w:before="240" w:after="120"/>
        <w:ind w:left="567" w:right="386" w:hanging="567"/>
        <w:jc w:val="both"/>
        <w:rPr>
          <w:b/>
          <w:sz w:val="28"/>
          <w:szCs w:val="28"/>
        </w:rPr>
      </w:pPr>
      <w:r w:rsidRPr="00F142A6">
        <w:rPr>
          <w:b/>
          <w:sz w:val="28"/>
          <w:szCs w:val="28"/>
        </w:rPr>
        <w:t xml:space="preserve">Section </w:t>
      </w:r>
      <w:proofErr w:type="gramStart"/>
      <w:r w:rsidRPr="00F142A6">
        <w:rPr>
          <w:b/>
          <w:sz w:val="28"/>
          <w:szCs w:val="28"/>
        </w:rPr>
        <w:t>A</w:t>
      </w:r>
      <w:proofErr w:type="gramEnd"/>
      <w:r w:rsidRPr="00F142A6">
        <w:rPr>
          <w:b/>
          <w:sz w:val="28"/>
          <w:szCs w:val="28"/>
        </w:rPr>
        <w:t xml:space="preserve"> Background and Context</w:t>
      </w:r>
    </w:p>
    <w:p w14:paraId="5DB346A6" w14:textId="23EDD196" w:rsidR="004E7A86" w:rsidRPr="003B33E2" w:rsidRDefault="00071B82" w:rsidP="003B33E2">
      <w:pPr>
        <w:spacing w:before="240" w:after="120"/>
        <w:ind w:right="386"/>
        <w:jc w:val="both"/>
        <w:rPr>
          <w:b/>
          <w:sz w:val="28"/>
          <w:szCs w:val="28"/>
        </w:rPr>
      </w:pPr>
      <w:r w:rsidRPr="003B33E2">
        <w:rPr>
          <w:b/>
          <w:sz w:val="28"/>
          <w:szCs w:val="28"/>
        </w:rPr>
        <w:t>Background</w:t>
      </w:r>
      <w:r w:rsidR="00AA3E93" w:rsidRPr="003B33E2">
        <w:rPr>
          <w:b/>
          <w:sz w:val="28"/>
          <w:szCs w:val="28"/>
        </w:rPr>
        <w:t xml:space="preserve"> </w:t>
      </w:r>
    </w:p>
    <w:p w14:paraId="388DBCB5" w14:textId="3284B2C2" w:rsidR="007B3F5D" w:rsidRPr="008D6AFC" w:rsidRDefault="002F59E6" w:rsidP="008D6AFC">
      <w:pPr>
        <w:ind w:left="426" w:right="386" w:hanging="426"/>
        <w:jc w:val="both"/>
        <w:rPr>
          <w:sz w:val="22"/>
          <w:szCs w:val="22"/>
        </w:rPr>
      </w:pPr>
      <w:r>
        <w:t>5</w:t>
      </w:r>
      <w:r w:rsidR="00B817E9" w:rsidRPr="0015339C">
        <w:tab/>
      </w:r>
      <w:r w:rsidR="004E7A86" w:rsidRPr="0015339C">
        <w:t>This report sets out the Council</w:t>
      </w:r>
      <w:r w:rsidR="003969E2" w:rsidRPr="0015339C">
        <w:t>’</w:t>
      </w:r>
      <w:r w:rsidR="004E7A86" w:rsidRPr="0015339C">
        <w:t>s financial plans for the period 201</w:t>
      </w:r>
      <w:r w:rsidR="00A22A47">
        <w:t>8</w:t>
      </w:r>
      <w:r w:rsidR="004E7A86" w:rsidRPr="0015339C">
        <w:t>/1</w:t>
      </w:r>
      <w:r w:rsidR="00A22A47">
        <w:t>9</w:t>
      </w:r>
      <w:r w:rsidR="004E7A86" w:rsidRPr="0015339C">
        <w:t xml:space="preserve"> to 20</w:t>
      </w:r>
      <w:r w:rsidR="0015339C" w:rsidRPr="0015339C">
        <w:t>2</w:t>
      </w:r>
      <w:r w:rsidR="00A22A47">
        <w:t>1</w:t>
      </w:r>
      <w:r w:rsidR="004E7A86" w:rsidRPr="0015339C">
        <w:t>/</w:t>
      </w:r>
      <w:r w:rsidR="00232EDE" w:rsidRPr="0015339C">
        <w:t>2</w:t>
      </w:r>
      <w:r w:rsidR="00A22A47">
        <w:t>2</w:t>
      </w:r>
      <w:r w:rsidR="004E7A86" w:rsidRPr="0015339C">
        <w:t xml:space="preserve">. The plans make </w:t>
      </w:r>
      <w:r w:rsidR="008F0D26" w:rsidRPr="0015339C">
        <w:t>assumptions</w:t>
      </w:r>
      <w:r w:rsidR="004E7A86" w:rsidRPr="0015339C">
        <w:t xml:space="preserve"> </w:t>
      </w:r>
      <w:r w:rsidR="003969E2" w:rsidRPr="0015339C">
        <w:t>about</w:t>
      </w:r>
      <w:r w:rsidR="004E7A86" w:rsidRPr="0015339C">
        <w:t xml:space="preserve"> income from Government </w:t>
      </w:r>
      <w:r w:rsidR="0065427B">
        <w:t>grants</w:t>
      </w:r>
      <w:r w:rsidR="004435EE" w:rsidRPr="0015339C">
        <w:t>,</w:t>
      </w:r>
      <w:r w:rsidR="004E7A86" w:rsidRPr="0015339C">
        <w:t xml:space="preserve"> </w:t>
      </w:r>
      <w:r w:rsidR="004435EE" w:rsidRPr="0015339C">
        <w:t>C</w:t>
      </w:r>
      <w:r w:rsidR="004E7A86" w:rsidRPr="0015339C">
        <w:t xml:space="preserve">ouncil </w:t>
      </w:r>
      <w:r w:rsidR="004435EE" w:rsidRPr="0015339C">
        <w:t>T</w:t>
      </w:r>
      <w:r w:rsidR="004E7A86" w:rsidRPr="0015339C">
        <w:t xml:space="preserve">ax </w:t>
      </w:r>
      <w:r w:rsidR="004435EE" w:rsidRPr="0015339C">
        <w:t>and rents</w:t>
      </w:r>
      <w:r w:rsidR="004E7A86" w:rsidRPr="0015339C">
        <w:t xml:space="preserve">. The plans </w:t>
      </w:r>
      <w:r w:rsidR="004435EE" w:rsidRPr="0015339C">
        <w:t xml:space="preserve">underpin </w:t>
      </w:r>
      <w:r w:rsidR="004E7A86" w:rsidRPr="0015339C">
        <w:t>service</w:t>
      </w:r>
      <w:r w:rsidR="004435EE" w:rsidRPr="0015339C">
        <w:t xml:space="preserve"> provision and </w:t>
      </w:r>
      <w:r w:rsidR="004E7A86" w:rsidRPr="0015339C">
        <w:t>the Council</w:t>
      </w:r>
      <w:r w:rsidR="004435EE" w:rsidRPr="0015339C">
        <w:t xml:space="preserve">’s </w:t>
      </w:r>
      <w:r w:rsidR="000409F1" w:rsidRPr="0015339C">
        <w:t xml:space="preserve">vision </w:t>
      </w:r>
      <w:r w:rsidR="004E7A86" w:rsidRPr="0015339C">
        <w:t>of “Building a World Class City for Everyone”</w:t>
      </w:r>
      <w:r w:rsidR="000409F1" w:rsidRPr="0015339C">
        <w:t>.</w:t>
      </w:r>
      <w:r w:rsidR="004E7A86" w:rsidRPr="0015339C">
        <w:t xml:space="preserve"> </w:t>
      </w:r>
    </w:p>
    <w:p w14:paraId="308D45D2" w14:textId="77777777" w:rsidR="000D75E5" w:rsidRPr="008D6AFC" w:rsidRDefault="000D75E5" w:rsidP="008D6AFC">
      <w:pPr>
        <w:spacing w:before="240" w:after="120"/>
        <w:outlineLvl w:val="0"/>
        <w:rPr>
          <w:b/>
          <w:color w:val="000000"/>
          <w:lang w:eastAsia="en-GB"/>
        </w:rPr>
      </w:pPr>
      <w:r w:rsidRPr="008D6AFC">
        <w:rPr>
          <w:b/>
          <w:color w:val="000000"/>
          <w:lang w:eastAsia="en-GB"/>
        </w:rPr>
        <w:t>National Economic Position</w:t>
      </w:r>
    </w:p>
    <w:p w14:paraId="36BC4981" w14:textId="77777777" w:rsidR="008B23A8" w:rsidRPr="004C4D82" w:rsidRDefault="002F59E6" w:rsidP="002F59E6">
      <w:pPr>
        <w:ind w:left="426" w:right="386" w:hanging="426"/>
        <w:jc w:val="both"/>
        <w:rPr>
          <w:rFonts w:cs="Arial"/>
          <w:lang w:val="en"/>
        </w:rPr>
      </w:pPr>
      <w:r w:rsidRPr="002F59E6">
        <w:t>6</w:t>
      </w:r>
      <w:r w:rsidRPr="002F59E6">
        <w:tab/>
      </w:r>
      <w:r w:rsidR="004C4D82" w:rsidRPr="00C25F78">
        <w:rPr>
          <w:rFonts w:cs="Arial"/>
        </w:rPr>
        <w:t>On 8</w:t>
      </w:r>
      <w:r w:rsidR="004C4D82" w:rsidRPr="00C25F78">
        <w:rPr>
          <w:rFonts w:cs="Arial"/>
          <w:vertAlign w:val="superscript"/>
        </w:rPr>
        <w:t>th</w:t>
      </w:r>
      <w:r w:rsidR="004C4D82" w:rsidRPr="00C25F78">
        <w:rPr>
          <w:rFonts w:cs="Arial"/>
        </w:rPr>
        <w:t xml:space="preserve"> March 2017 the Chancellor delivered his spring budget to Parliament. </w:t>
      </w:r>
      <w:r w:rsidR="004C4D82">
        <w:rPr>
          <w:rFonts w:cs="Arial"/>
        </w:rPr>
        <w:t xml:space="preserve">The main headlines of this speech </w:t>
      </w:r>
      <w:proofErr w:type="gramStart"/>
      <w:r w:rsidR="004C4D82">
        <w:rPr>
          <w:rFonts w:cs="Arial"/>
        </w:rPr>
        <w:t>were :</w:t>
      </w:r>
      <w:proofErr w:type="gramEnd"/>
    </w:p>
    <w:p w14:paraId="705CA6E3" w14:textId="77777777" w:rsidR="004C4D82" w:rsidRDefault="004C4D82" w:rsidP="004C4D82">
      <w:pPr>
        <w:pStyle w:val="NormalWeb"/>
        <w:spacing w:before="0" w:beforeAutospacing="0" w:after="0" w:afterAutospacing="0"/>
        <w:rPr>
          <w:rFonts w:ascii="Arial" w:hAnsi="Arial" w:cs="Arial"/>
        </w:rPr>
      </w:pPr>
    </w:p>
    <w:p w14:paraId="2D7B482E" w14:textId="77777777" w:rsidR="004C4D82" w:rsidRPr="004C4D82" w:rsidRDefault="004C4D82" w:rsidP="006C4C35">
      <w:pPr>
        <w:pStyle w:val="ListParagraph"/>
        <w:numPr>
          <w:ilvl w:val="0"/>
          <w:numId w:val="21"/>
        </w:numPr>
        <w:rPr>
          <w:rFonts w:cs="Arial"/>
          <w:lang w:val="en"/>
        </w:rPr>
      </w:pPr>
      <w:r w:rsidRPr="004C4D82">
        <w:rPr>
          <w:lang w:val="en"/>
        </w:rPr>
        <w:t>Office for Budget Responsibility (OBR) forecast that the UK economy w</w:t>
      </w:r>
      <w:r>
        <w:rPr>
          <w:lang w:val="en"/>
        </w:rPr>
        <w:t>ould</w:t>
      </w:r>
      <w:r w:rsidRPr="004C4D82">
        <w:rPr>
          <w:lang w:val="en"/>
        </w:rPr>
        <w:t xml:space="preserve"> grow by 2% in 2017</w:t>
      </w:r>
      <w:r>
        <w:rPr>
          <w:lang w:val="en"/>
        </w:rPr>
        <w:t xml:space="preserve">, </w:t>
      </w:r>
      <w:r w:rsidR="003F17B9">
        <w:rPr>
          <w:lang w:val="en"/>
        </w:rPr>
        <w:t xml:space="preserve">dip below 2% </w:t>
      </w:r>
      <w:r w:rsidRPr="004C4D82">
        <w:rPr>
          <w:lang w:val="en"/>
        </w:rPr>
        <w:t>in 2018</w:t>
      </w:r>
      <w:r w:rsidR="003F17B9">
        <w:rPr>
          <w:lang w:val="en"/>
        </w:rPr>
        <w:t xml:space="preserve"> - 2020</w:t>
      </w:r>
      <w:r w:rsidRPr="004C4D82">
        <w:rPr>
          <w:lang w:val="en"/>
        </w:rPr>
        <w:t>, before picking up to 2% in 2021.</w:t>
      </w:r>
    </w:p>
    <w:p w14:paraId="6D8CCDF9" w14:textId="77777777" w:rsidR="004C4D82" w:rsidRPr="004C4D82" w:rsidRDefault="004C4D82" w:rsidP="006C4C35">
      <w:pPr>
        <w:pStyle w:val="ListParagraph"/>
        <w:numPr>
          <w:ilvl w:val="0"/>
          <w:numId w:val="21"/>
        </w:numPr>
        <w:rPr>
          <w:rFonts w:cs="Arial"/>
          <w:lang w:val="en"/>
        </w:rPr>
      </w:pPr>
      <w:r>
        <w:rPr>
          <w:lang w:val="en"/>
        </w:rPr>
        <w:t>£2 billion would be given for adult social care over the next three years</w:t>
      </w:r>
    </w:p>
    <w:p w14:paraId="4DC6AB50" w14:textId="77777777" w:rsidR="004C4D82" w:rsidRPr="004C4D82" w:rsidRDefault="004C4D82" w:rsidP="006C4C35">
      <w:pPr>
        <w:pStyle w:val="ListParagraph"/>
        <w:numPr>
          <w:ilvl w:val="0"/>
          <w:numId w:val="21"/>
        </w:numPr>
        <w:rPr>
          <w:rFonts w:cs="Arial"/>
          <w:lang w:val="en"/>
        </w:rPr>
      </w:pPr>
      <w:r>
        <w:rPr>
          <w:lang w:val="en"/>
        </w:rPr>
        <w:t>There would be £425 million investment in the NHS in the next three years</w:t>
      </w:r>
    </w:p>
    <w:p w14:paraId="59A6FE98" w14:textId="77777777" w:rsidR="004C4D82" w:rsidRPr="004C4D82" w:rsidRDefault="004C4D82" w:rsidP="006C4C35">
      <w:pPr>
        <w:pStyle w:val="ListParagraph"/>
        <w:numPr>
          <w:ilvl w:val="0"/>
          <w:numId w:val="21"/>
        </w:numPr>
        <w:rPr>
          <w:rFonts w:cs="Arial"/>
          <w:lang w:val="en"/>
        </w:rPr>
      </w:pPr>
      <w:r>
        <w:rPr>
          <w:lang w:val="en"/>
        </w:rPr>
        <w:t>£435 million</w:t>
      </w:r>
      <w:r w:rsidR="00F76E9F">
        <w:rPr>
          <w:lang w:val="en"/>
        </w:rPr>
        <w:t xml:space="preserve"> would be available </w:t>
      </w:r>
      <w:r>
        <w:rPr>
          <w:lang w:val="en"/>
        </w:rPr>
        <w:t>to support businesses affected by the business rates relief revaluation</w:t>
      </w:r>
    </w:p>
    <w:p w14:paraId="7681E196" w14:textId="77777777" w:rsidR="004C4D82" w:rsidRPr="004C4D82" w:rsidRDefault="004C4D82" w:rsidP="004C4D82">
      <w:pPr>
        <w:pStyle w:val="NormalWeb"/>
        <w:spacing w:before="0" w:beforeAutospacing="0" w:after="0" w:afterAutospacing="0"/>
        <w:ind w:left="567"/>
        <w:rPr>
          <w:rFonts w:ascii="Arial" w:hAnsi="Arial" w:cs="Arial"/>
          <w:lang w:val="en"/>
        </w:rPr>
      </w:pPr>
    </w:p>
    <w:p w14:paraId="6FB8258F" w14:textId="77777777" w:rsidR="005F7516" w:rsidRPr="005F7516" w:rsidRDefault="00F76E9F" w:rsidP="002F59E6">
      <w:pPr>
        <w:pStyle w:val="NormalWeb"/>
        <w:numPr>
          <w:ilvl w:val="0"/>
          <w:numId w:val="37"/>
        </w:numPr>
        <w:spacing w:before="0" w:beforeAutospacing="0" w:after="0" w:afterAutospacing="0"/>
        <w:ind w:left="426" w:hanging="426"/>
        <w:rPr>
          <w:rFonts w:ascii="Arial" w:hAnsi="Arial" w:cs="Arial"/>
        </w:rPr>
      </w:pPr>
      <w:r>
        <w:rPr>
          <w:rFonts w:ascii="Arial" w:hAnsi="Arial" w:cs="Arial"/>
          <w:lang w:val="en"/>
        </w:rPr>
        <w:t xml:space="preserve">In </w:t>
      </w:r>
      <w:r w:rsidR="005F7516">
        <w:rPr>
          <w:rFonts w:ascii="Arial" w:hAnsi="Arial" w:cs="Arial"/>
          <w:lang w:val="en"/>
        </w:rPr>
        <w:t xml:space="preserve">further </w:t>
      </w:r>
      <w:r>
        <w:rPr>
          <w:rFonts w:ascii="Arial" w:hAnsi="Arial" w:cs="Arial"/>
          <w:lang w:val="en"/>
        </w:rPr>
        <w:t>announcement</w:t>
      </w:r>
      <w:r w:rsidR="005F7516">
        <w:rPr>
          <w:rFonts w:ascii="Arial" w:hAnsi="Arial" w:cs="Arial"/>
          <w:lang w:val="en"/>
        </w:rPr>
        <w:t>s</w:t>
      </w:r>
      <w:r>
        <w:rPr>
          <w:rFonts w:ascii="Arial" w:hAnsi="Arial" w:cs="Arial"/>
          <w:lang w:val="en"/>
        </w:rPr>
        <w:t xml:space="preserve"> </w:t>
      </w:r>
    </w:p>
    <w:p w14:paraId="0685D8B6" w14:textId="77777777" w:rsidR="00F76E9F" w:rsidRPr="0041193C" w:rsidRDefault="003F17B9" w:rsidP="006C4C35">
      <w:pPr>
        <w:pStyle w:val="NormalWeb"/>
        <w:numPr>
          <w:ilvl w:val="0"/>
          <w:numId w:val="25"/>
        </w:numPr>
        <w:spacing w:before="0" w:beforeAutospacing="0" w:after="0" w:afterAutospacing="0"/>
        <w:ind w:left="1418" w:hanging="284"/>
        <w:rPr>
          <w:rFonts w:ascii="Arial" w:hAnsi="Arial" w:cs="Arial"/>
        </w:rPr>
      </w:pPr>
      <w:r>
        <w:rPr>
          <w:rFonts w:ascii="Arial" w:hAnsi="Arial" w:cs="Arial"/>
          <w:lang w:val="en"/>
        </w:rPr>
        <w:t xml:space="preserve">The Chancellor </w:t>
      </w:r>
      <w:r w:rsidR="00F76E9F" w:rsidRPr="00F76E9F">
        <w:rPr>
          <w:rFonts w:ascii="Arial" w:hAnsi="Arial" w:cs="Arial"/>
          <w:lang w:val="en"/>
        </w:rPr>
        <w:t xml:space="preserve">ruled out the possibility of a summer budget </w:t>
      </w:r>
      <w:r w:rsidR="00F76E9F">
        <w:rPr>
          <w:rFonts w:ascii="Arial" w:hAnsi="Arial" w:cs="Arial"/>
          <w:lang w:val="en"/>
        </w:rPr>
        <w:t xml:space="preserve">in </w:t>
      </w:r>
      <w:proofErr w:type="spellStart"/>
      <w:r w:rsidR="00F76E9F">
        <w:rPr>
          <w:rFonts w:ascii="Arial" w:hAnsi="Arial" w:cs="Arial"/>
          <w:lang w:val="en"/>
        </w:rPr>
        <w:t>favour</w:t>
      </w:r>
      <w:proofErr w:type="spellEnd"/>
      <w:r w:rsidR="00F76E9F">
        <w:rPr>
          <w:rFonts w:ascii="Arial" w:hAnsi="Arial" w:cs="Arial"/>
          <w:lang w:val="en"/>
        </w:rPr>
        <w:t xml:space="preserve"> of a </w:t>
      </w:r>
      <w:r w:rsidR="00F76E9F" w:rsidRPr="00F76E9F">
        <w:rPr>
          <w:rFonts w:ascii="Arial" w:hAnsi="Arial" w:cs="Arial"/>
          <w:lang w:val="en"/>
        </w:rPr>
        <w:t xml:space="preserve">regular budget in November in which the </w:t>
      </w:r>
      <w:r>
        <w:rPr>
          <w:rFonts w:ascii="Arial" w:hAnsi="Arial" w:cs="Arial"/>
          <w:lang w:val="en"/>
        </w:rPr>
        <w:t>G</w:t>
      </w:r>
      <w:r w:rsidR="00F76E9F" w:rsidRPr="00F76E9F">
        <w:rPr>
          <w:rFonts w:ascii="Arial" w:hAnsi="Arial" w:cs="Arial"/>
          <w:lang w:val="en"/>
        </w:rPr>
        <w:t>overnment will set out future plans for public spending, for taxation</w:t>
      </w:r>
      <w:r w:rsidR="00F76E9F">
        <w:rPr>
          <w:rFonts w:ascii="Arial" w:hAnsi="Arial" w:cs="Arial"/>
          <w:lang w:val="en"/>
        </w:rPr>
        <w:t xml:space="preserve"> and </w:t>
      </w:r>
      <w:r w:rsidR="00F76E9F" w:rsidRPr="00F76E9F">
        <w:rPr>
          <w:rFonts w:ascii="Arial" w:hAnsi="Arial" w:cs="Arial"/>
          <w:lang w:val="en"/>
        </w:rPr>
        <w:t>fiscal balance</w:t>
      </w:r>
      <w:r w:rsidR="00F76E9F">
        <w:rPr>
          <w:rFonts w:ascii="Arial" w:hAnsi="Arial" w:cs="Arial"/>
          <w:lang w:val="en"/>
        </w:rPr>
        <w:t>.</w:t>
      </w:r>
    </w:p>
    <w:p w14:paraId="57D77809" w14:textId="77777777" w:rsidR="00C25F78" w:rsidRPr="00C25F78" w:rsidRDefault="00C25F78" w:rsidP="006C4C35">
      <w:pPr>
        <w:pStyle w:val="NormalWeb"/>
        <w:numPr>
          <w:ilvl w:val="0"/>
          <w:numId w:val="25"/>
        </w:numPr>
        <w:spacing w:before="0" w:beforeAutospacing="0" w:after="0" w:afterAutospacing="0"/>
        <w:ind w:left="1418" w:hanging="284"/>
        <w:rPr>
          <w:rFonts w:ascii="Arial" w:hAnsi="Arial" w:cs="Arial"/>
        </w:rPr>
      </w:pPr>
      <w:r>
        <w:rPr>
          <w:rFonts w:ascii="Arial" w:hAnsi="Arial" w:cs="Arial"/>
          <w:lang w:val="en"/>
        </w:rPr>
        <w:t>The Government announced the lifting of the pay cap which had been restricted to 1% since 2013</w:t>
      </w:r>
    </w:p>
    <w:p w14:paraId="0024DAC6" w14:textId="77777777" w:rsidR="00C25F78" w:rsidRPr="005F7516" w:rsidRDefault="00C25F78" w:rsidP="006C4C35">
      <w:pPr>
        <w:pStyle w:val="NormalWeb"/>
        <w:numPr>
          <w:ilvl w:val="0"/>
          <w:numId w:val="25"/>
        </w:numPr>
        <w:spacing w:before="0" w:beforeAutospacing="0" w:after="0" w:afterAutospacing="0"/>
        <w:ind w:left="1418" w:hanging="284"/>
        <w:rPr>
          <w:rFonts w:ascii="Arial" w:hAnsi="Arial" w:cs="Arial"/>
        </w:rPr>
      </w:pPr>
      <w:r>
        <w:rPr>
          <w:rFonts w:ascii="Arial" w:hAnsi="Arial" w:cs="Arial"/>
          <w:lang w:val="en"/>
        </w:rPr>
        <w:t xml:space="preserve">From 2020 </w:t>
      </w:r>
      <w:r w:rsidR="00881AFC">
        <w:rPr>
          <w:rFonts w:ascii="Arial" w:hAnsi="Arial" w:cs="Arial"/>
          <w:lang w:val="en"/>
        </w:rPr>
        <w:t xml:space="preserve">a guideline rent increase of CPI+1% will be reintroduced for </w:t>
      </w:r>
      <w:r>
        <w:rPr>
          <w:rFonts w:ascii="Arial" w:hAnsi="Arial" w:cs="Arial"/>
          <w:lang w:val="en"/>
        </w:rPr>
        <w:t xml:space="preserve">increases to social housing </w:t>
      </w:r>
      <w:r w:rsidR="00881AFC">
        <w:rPr>
          <w:rFonts w:ascii="Arial" w:hAnsi="Arial" w:cs="Arial"/>
          <w:lang w:val="en"/>
        </w:rPr>
        <w:t>for</w:t>
      </w:r>
      <w:r>
        <w:rPr>
          <w:rFonts w:ascii="Arial" w:hAnsi="Arial" w:cs="Arial"/>
          <w:lang w:val="en"/>
        </w:rPr>
        <w:t xml:space="preserve"> the following 5 years.</w:t>
      </w:r>
    </w:p>
    <w:p w14:paraId="20E987D1" w14:textId="77777777" w:rsidR="00F76E9F" w:rsidRPr="00F76E9F" w:rsidRDefault="00F76E9F" w:rsidP="00881AFC">
      <w:pPr>
        <w:pStyle w:val="NormalWeb"/>
        <w:spacing w:before="0" w:beforeAutospacing="0" w:after="0" w:afterAutospacing="0"/>
        <w:ind w:left="567" w:hanging="141"/>
        <w:rPr>
          <w:rFonts w:ascii="Arial" w:hAnsi="Arial" w:cs="Arial"/>
        </w:rPr>
      </w:pPr>
    </w:p>
    <w:p w14:paraId="3A0C2502" w14:textId="77777777" w:rsidR="00601056" w:rsidRPr="00601056" w:rsidRDefault="002F59E6" w:rsidP="00F254C7">
      <w:pPr>
        <w:pStyle w:val="Default"/>
        <w:ind w:left="426" w:hanging="426"/>
      </w:pPr>
      <w:r>
        <w:t>8</w:t>
      </w:r>
      <w:r>
        <w:tab/>
      </w:r>
      <w:r w:rsidR="00601056">
        <w:t>The Chancellor delivered his Autumn Statement on 22</w:t>
      </w:r>
      <w:r w:rsidR="00601056" w:rsidRPr="00601056">
        <w:rPr>
          <w:vertAlign w:val="superscript"/>
        </w:rPr>
        <w:t>nd</w:t>
      </w:r>
      <w:r w:rsidR="00601056">
        <w:t xml:space="preserve"> November 2017. He </w:t>
      </w:r>
      <w:r w:rsidR="006D6BBB">
        <w:t xml:space="preserve">announced </w:t>
      </w:r>
      <w:r w:rsidR="006D6BBB" w:rsidRPr="00601056">
        <w:t>that</w:t>
      </w:r>
      <w:r w:rsidR="00601056" w:rsidRPr="00601056">
        <w:t xml:space="preserve"> the </w:t>
      </w:r>
      <w:r w:rsidR="003F17B9">
        <w:t>G</w:t>
      </w:r>
      <w:r w:rsidR="003F17B9" w:rsidRPr="00601056">
        <w:t xml:space="preserve">overnment </w:t>
      </w:r>
      <w:r w:rsidR="00601056" w:rsidRPr="00601056">
        <w:t xml:space="preserve">is producing this Budget against the background of preparing for exiting the EU, and, to help ensure a smooth transition, they are setting aside an additional £3 billion. </w:t>
      </w:r>
    </w:p>
    <w:p w14:paraId="7EF49BE8" w14:textId="77777777" w:rsidR="00601056" w:rsidRDefault="00601056" w:rsidP="00601056">
      <w:pPr>
        <w:pStyle w:val="Default"/>
        <w:ind w:firstLine="720"/>
      </w:pPr>
    </w:p>
    <w:p w14:paraId="090E1FDA" w14:textId="77777777" w:rsidR="00601056" w:rsidRPr="00601056" w:rsidRDefault="002F59E6" w:rsidP="00F254C7">
      <w:pPr>
        <w:pStyle w:val="Default"/>
        <w:ind w:left="426" w:hanging="426"/>
      </w:pPr>
      <w:r>
        <w:t>9</w:t>
      </w:r>
      <w:r>
        <w:tab/>
      </w:r>
      <w:r w:rsidR="00601056" w:rsidRPr="00601056">
        <w:t xml:space="preserve">The Chancellor also stated that the level of public sector net borrowing is now forecast to be £49.9bn in 2017/18, reduced from £58.3bn in the March Budget. However, the forecast for the last year of the current Spending Round is for borrowing of £34.7bn, compared to £21.4bn in the March Budget, and, by 2021/22, for £30.1bn, compared to £16.8bn. </w:t>
      </w:r>
    </w:p>
    <w:p w14:paraId="7DE89860" w14:textId="77777777" w:rsidR="00601056" w:rsidRDefault="00601056" w:rsidP="00601056">
      <w:pPr>
        <w:pStyle w:val="Default"/>
        <w:ind w:firstLine="720"/>
      </w:pPr>
    </w:p>
    <w:p w14:paraId="5F2AA531" w14:textId="77777777" w:rsidR="00601056" w:rsidRPr="00601056" w:rsidRDefault="002F59E6" w:rsidP="00F254C7">
      <w:pPr>
        <w:pStyle w:val="Default"/>
        <w:tabs>
          <w:tab w:val="left" w:pos="426"/>
        </w:tabs>
      </w:pPr>
      <w:r>
        <w:t>10</w:t>
      </w:r>
      <w:r>
        <w:tab/>
      </w:r>
      <w:r w:rsidR="00601056">
        <w:t>The following i</w:t>
      </w:r>
      <w:r w:rsidR="00601056" w:rsidRPr="00601056">
        <w:t>nitiatives across a number of themes</w:t>
      </w:r>
      <w:r w:rsidR="00601056">
        <w:t xml:space="preserve"> were announced</w:t>
      </w:r>
      <w:r w:rsidR="00601056" w:rsidRPr="00601056">
        <w:t xml:space="preserve">: </w:t>
      </w:r>
    </w:p>
    <w:p w14:paraId="02102EA2" w14:textId="77777777" w:rsidR="00601056" w:rsidRPr="00601056" w:rsidRDefault="00601056" w:rsidP="00881AFC">
      <w:pPr>
        <w:pStyle w:val="Default"/>
        <w:numPr>
          <w:ilvl w:val="0"/>
          <w:numId w:val="28"/>
        </w:numPr>
        <w:spacing w:after="293"/>
        <w:ind w:left="1497" w:hanging="357"/>
      </w:pPr>
      <w:r w:rsidRPr="00601056">
        <w:t xml:space="preserve">Additional measures to boost productivity, including a £1.7 billion new Transforming Cities Fund through the NPIF, launched in 2016 to improve connectivity and support jobs across England’s city regions; </w:t>
      </w:r>
    </w:p>
    <w:p w14:paraId="41D9AA8F" w14:textId="77777777" w:rsidR="00601056" w:rsidRPr="00601056" w:rsidRDefault="00601056" w:rsidP="00881AFC">
      <w:pPr>
        <w:pStyle w:val="Default"/>
        <w:numPr>
          <w:ilvl w:val="0"/>
          <w:numId w:val="28"/>
        </w:numPr>
        <w:spacing w:after="293"/>
        <w:ind w:left="1497" w:hanging="357"/>
      </w:pPr>
      <w:r w:rsidRPr="00601056">
        <w:t xml:space="preserve">Measures to increase the numbers of new homes being built and access to homes for the young and first time buyers; and </w:t>
      </w:r>
    </w:p>
    <w:p w14:paraId="56710226" w14:textId="77777777" w:rsidR="00601056" w:rsidRDefault="00601056" w:rsidP="00881AFC">
      <w:pPr>
        <w:pStyle w:val="Default"/>
        <w:numPr>
          <w:ilvl w:val="0"/>
          <w:numId w:val="28"/>
        </w:numPr>
        <w:ind w:left="1497" w:hanging="357"/>
      </w:pPr>
      <w:r w:rsidRPr="00601056">
        <w:t>£2.8bn of additional funding for the NHS up to 2019/20, with £0.3bn in 2017/18, £1.6bn in 2018/19 and £0.9bn in 2019/20 and additional capital funding of £3.5bn.</w:t>
      </w:r>
    </w:p>
    <w:p w14:paraId="486C4040" w14:textId="77777777" w:rsidR="00601056" w:rsidRPr="00601056" w:rsidRDefault="00601056" w:rsidP="00601056">
      <w:pPr>
        <w:pStyle w:val="Default"/>
        <w:ind w:left="1500"/>
      </w:pPr>
      <w:r w:rsidRPr="00601056">
        <w:t xml:space="preserve"> </w:t>
      </w:r>
    </w:p>
    <w:p w14:paraId="7BE9A5EC" w14:textId="77777777" w:rsidR="00601056" w:rsidRPr="00394B3F" w:rsidRDefault="00601056" w:rsidP="002F59E6">
      <w:pPr>
        <w:pStyle w:val="NormalWeb"/>
        <w:numPr>
          <w:ilvl w:val="0"/>
          <w:numId w:val="38"/>
        </w:numPr>
        <w:spacing w:before="0" w:beforeAutospacing="0" w:after="0" w:afterAutospacing="0"/>
        <w:ind w:left="426" w:hanging="426"/>
        <w:rPr>
          <w:rFonts w:ascii="Arial" w:hAnsi="Arial" w:cs="Arial"/>
          <w:lang w:val="en" w:eastAsia="en-GB"/>
        </w:rPr>
      </w:pPr>
      <w:r w:rsidRPr="00394B3F">
        <w:rPr>
          <w:rFonts w:ascii="Arial" w:hAnsi="Arial" w:cs="Arial"/>
          <w:lang w:val="en" w:eastAsia="en-GB"/>
        </w:rPr>
        <w:t xml:space="preserve">Other announcements </w:t>
      </w:r>
      <w:r w:rsidR="00F254C7" w:rsidRPr="00394B3F">
        <w:rPr>
          <w:rFonts w:ascii="Arial" w:hAnsi="Arial" w:cs="Arial"/>
          <w:lang w:val="en" w:eastAsia="en-GB"/>
        </w:rPr>
        <w:t>specifically</w:t>
      </w:r>
      <w:r w:rsidRPr="00394B3F">
        <w:rPr>
          <w:rFonts w:ascii="Arial" w:hAnsi="Arial" w:cs="Arial"/>
          <w:lang w:val="en" w:eastAsia="en-GB"/>
        </w:rPr>
        <w:t xml:space="preserve"> for local government included :</w:t>
      </w:r>
    </w:p>
    <w:p w14:paraId="4D8F444C" w14:textId="77777777" w:rsidR="00A928FC" w:rsidRDefault="00A928FC" w:rsidP="00A928FC">
      <w:pPr>
        <w:pStyle w:val="Default"/>
        <w:ind w:left="720"/>
      </w:pPr>
    </w:p>
    <w:p w14:paraId="0C3BF14D" w14:textId="77777777" w:rsidR="00A928FC" w:rsidRPr="00ED7721" w:rsidRDefault="00A928FC" w:rsidP="00ED7721">
      <w:pPr>
        <w:pStyle w:val="ListParagraph"/>
        <w:numPr>
          <w:ilvl w:val="0"/>
          <w:numId w:val="30"/>
        </w:numPr>
      </w:pPr>
      <w:r w:rsidRPr="00ED7721">
        <w:t xml:space="preserve">The business rates revaluation cycle will switch from five years to three years following the next revaluation. This should mean that, following the planned 2022 revaluation, the next revaluation will be in 2025 </w:t>
      </w:r>
    </w:p>
    <w:p w14:paraId="72A4DAB4" w14:textId="77777777" w:rsidR="00A928FC" w:rsidRPr="00ED7721" w:rsidRDefault="00A928FC" w:rsidP="00A928FC">
      <w:pPr>
        <w:pStyle w:val="Default"/>
        <w:numPr>
          <w:ilvl w:val="1"/>
          <w:numId w:val="19"/>
        </w:numPr>
      </w:pPr>
      <w:r w:rsidRPr="00ED7721">
        <w:t>There will be a</w:t>
      </w:r>
      <w:r w:rsidR="003F17B9">
        <w:t xml:space="preserve"> one year</w:t>
      </w:r>
      <w:r w:rsidRPr="00ED7721">
        <w:t xml:space="preserve"> extension to the £1,000 discount to business rates for pubs with a </w:t>
      </w:r>
      <w:proofErr w:type="spellStart"/>
      <w:r w:rsidRPr="00ED7721">
        <w:t>rateable</w:t>
      </w:r>
      <w:proofErr w:type="spellEnd"/>
      <w:r w:rsidRPr="00ED7721">
        <w:t xml:space="preserve"> value of less than £100,000 to 2018/19.</w:t>
      </w:r>
    </w:p>
    <w:p w14:paraId="39673363" w14:textId="77777777" w:rsidR="00A928FC" w:rsidRPr="00EE6A4D" w:rsidRDefault="00A928FC" w:rsidP="00A928FC">
      <w:pPr>
        <w:pStyle w:val="Default"/>
        <w:numPr>
          <w:ilvl w:val="1"/>
          <w:numId w:val="19"/>
        </w:numPr>
      </w:pPr>
      <w:r w:rsidRPr="00EE6A4D">
        <w:t xml:space="preserve">The proposal to move to uprating the business rates multiplier by CPI from April 2018 </w:t>
      </w:r>
      <w:r w:rsidR="003F17B9">
        <w:t xml:space="preserve">rather than RPI </w:t>
      </w:r>
      <w:r w:rsidRPr="00EE6A4D">
        <w:t>should see a reduction in the rate of increase from 3.9% (September RPI) to 3.0% (CPI rate).</w:t>
      </w:r>
      <w:r w:rsidR="00ED7721" w:rsidRPr="00EE6A4D">
        <w:t xml:space="preserve"> This change should be cost </w:t>
      </w:r>
      <w:r w:rsidR="006D6BBB" w:rsidRPr="00EE6A4D">
        <w:t>neutral</w:t>
      </w:r>
      <w:r w:rsidR="00ED7721" w:rsidRPr="00EE6A4D">
        <w:t xml:space="preserve"> for local authorities if it is compensated for by Section 31 grants as happened previously with the 2% cap.</w:t>
      </w:r>
    </w:p>
    <w:p w14:paraId="472B2A84" w14:textId="77777777" w:rsidR="00601056" w:rsidRPr="00371E47" w:rsidRDefault="00371E47" w:rsidP="00371E47">
      <w:pPr>
        <w:pStyle w:val="Default"/>
        <w:numPr>
          <w:ilvl w:val="1"/>
          <w:numId w:val="19"/>
        </w:numPr>
        <w:ind w:left="1418" w:hanging="284"/>
        <w:rPr>
          <w:lang w:val="en" w:eastAsia="en-GB"/>
        </w:rPr>
      </w:pPr>
      <w:r>
        <w:t>F</w:t>
      </w:r>
      <w:r w:rsidR="00ED7721" w:rsidRPr="00EE6A4D">
        <w:t>rom April 201</w:t>
      </w:r>
      <w:r>
        <w:t>9</w:t>
      </w:r>
      <w:r w:rsidR="00ED7721" w:rsidRPr="00EE6A4D">
        <w:t>, local authorities will be given the power to increase the council tax empty</w:t>
      </w:r>
      <w:r w:rsidR="00EB37EF">
        <w:t xml:space="preserve"> homes premium from 50% to 100% for homes that have been empty for 2 years or more.</w:t>
      </w:r>
      <w:r w:rsidR="00526741">
        <w:t xml:space="preserve"> </w:t>
      </w:r>
      <w:r w:rsidR="00FB2B58">
        <w:t>It has been clarified that this announcement requires primary legislation and so the option will not be available to local authorities until 2019/20.</w:t>
      </w:r>
    </w:p>
    <w:p w14:paraId="5E0AE3B7" w14:textId="77777777" w:rsidR="00371E47" w:rsidRPr="00371E47" w:rsidRDefault="00371E47" w:rsidP="00371E47">
      <w:pPr>
        <w:pStyle w:val="Default"/>
        <w:ind w:left="1146"/>
        <w:rPr>
          <w:lang w:val="en" w:eastAsia="en-GB"/>
        </w:rPr>
      </w:pPr>
    </w:p>
    <w:p w14:paraId="62CED48C" w14:textId="75A7E353" w:rsidR="006320F9" w:rsidRPr="00CE0C1F" w:rsidRDefault="006320F9" w:rsidP="002F59E6">
      <w:pPr>
        <w:pStyle w:val="NormalWeb"/>
        <w:numPr>
          <w:ilvl w:val="0"/>
          <w:numId w:val="38"/>
        </w:numPr>
        <w:spacing w:before="0" w:beforeAutospacing="0" w:after="0" w:afterAutospacing="0"/>
        <w:ind w:left="426" w:hanging="426"/>
        <w:rPr>
          <w:rFonts w:ascii="Arial" w:hAnsi="Arial" w:cs="Arial"/>
          <w:lang w:val="en" w:eastAsia="en-GB"/>
        </w:rPr>
      </w:pPr>
      <w:r w:rsidRPr="00CE0C1F">
        <w:rPr>
          <w:rFonts w:ascii="Arial" w:hAnsi="Arial" w:cs="Arial"/>
          <w:lang w:val="en" w:eastAsia="en-GB"/>
        </w:rPr>
        <w:t xml:space="preserve">The Council will have to wait until </w:t>
      </w:r>
      <w:r w:rsidR="00AC4C4E">
        <w:rPr>
          <w:rFonts w:ascii="Arial" w:hAnsi="Arial" w:cs="Arial"/>
          <w:lang w:val="en" w:eastAsia="en-GB"/>
        </w:rPr>
        <w:t>the</w:t>
      </w:r>
      <w:r w:rsidR="003F17B9">
        <w:rPr>
          <w:rFonts w:ascii="Arial" w:hAnsi="Arial" w:cs="Arial"/>
          <w:lang w:val="en" w:eastAsia="en-GB"/>
        </w:rPr>
        <w:t xml:space="preserve"> Finance Settlement is announced in </w:t>
      </w:r>
      <w:r w:rsidRPr="00CE0C1F">
        <w:rPr>
          <w:rFonts w:ascii="Arial" w:hAnsi="Arial" w:cs="Arial"/>
          <w:lang w:val="en" w:eastAsia="en-GB"/>
        </w:rPr>
        <w:t>December to understand the impact on Retained Business Rates</w:t>
      </w:r>
      <w:r w:rsidR="007959BB">
        <w:rPr>
          <w:rFonts w:ascii="Arial" w:hAnsi="Arial" w:cs="Arial"/>
          <w:lang w:val="en" w:eastAsia="en-GB"/>
        </w:rPr>
        <w:t>.  A</w:t>
      </w:r>
      <w:r w:rsidRPr="00CE0C1F">
        <w:rPr>
          <w:rFonts w:ascii="Arial" w:hAnsi="Arial" w:cs="Arial"/>
          <w:lang w:val="en" w:eastAsia="en-GB"/>
        </w:rPr>
        <w:t xml:space="preserve">ny variation to that currently included in the </w:t>
      </w:r>
      <w:r w:rsidR="00FB2B58">
        <w:rPr>
          <w:rFonts w:ascii="Arial" w:hAnsi="Arial" w:cs="Arial"/>
          <w:lang w:val="en" w:eastAsia="en-GB"/>
        </w:rPr>
        <w:t>MTFS</w:t>
      </w:r>
      <w:r w:rsidR="007959BB">
        <w:rPr>
          <w:rFonts w:ascii="Arial" w:hAnsi="Arial" w:cs="Arial"/>
          <w:lang w:val="en" w:eastAsia="en-GB"/>
        </w:rPr>
        <w:t xml:space="preserve"> will be reported to CEB </w:t>
      </w:r>
      <w:r w:rsidRPr="00CE0C1F">
        <w:rPr>
          <w:rFonts w:ascii="Arial" w:hAnsi="Arial" w:cs="Arial"/>
          <w:lang w:val="en" w:eastAsia="en-GB"/>
        </w:rPr>
        <w:t xml:space="preserve">in </w:t>
      </w:r>
      <w:r w:rsidR="007959BB">
        <w:rPr>
          <w:rFonts w:ascii="Arial" w:hAnsi="Arial" w:cs="Arial"/>
          <w:lang w:val="en" w:eastAsia="en-GB"/>
        </w:rPr>
        <w:t>January</w:t>
      </w:r>
      <w:r w:rsidR="00AC4C4E">
        <w:rPr>
          <w:rFonts w:ascii="Arial" w:hAnsi="Arial" w:cs="Arial"/>
          <w:lang w:val="en" w:eastAsia="en-GB"/>
        </w:rPr>
        <w:t xml:space="preserve"> 2018</w:t>
      </w:r>
      <w:r w:rsidRPr="00CE0C1F">
        <w:rPr>
          <w:rFonts w:ascii="Arial" w:hAnsi="Arial" w:cs="Arial"/>
          <w:lang w:val="en" w:eastAsia="en-GB"/>
        </w:rPr>
        <w:t>.</w:t>
      </w:r>
    </w:p>
    <w:p w14:paraId="6F5EF65C" w14:textId="77777777" w:rsidR="00881AFC" w:rsidRDefault="00881AFC" w:rsidP="008D6AFC">
      <w:pPr>
        <w:pStyle w:val="NormalWeb"/>
        <w:spacing w:before="0" w:beforeAutospacing="0" w:after="0" w:afterAutospacing="0"/>
        <w:rPr>
          <w:rFonts w:ascii="Arial" w:hAnsi="Arial" w:cs="Arial"/>
          <w:lang w:val="en" w:eastAsia="en-GB"/>
        </w:rPr>
      </w:pPr>
    </w:p>
    <w:p w14:paraId="291E1D10" w14:textId="77777777" w:rsidR="00370967" w:rsidRPr="008D6AFC" w:rsidRDefault="00370967" w:rsidP="008D6AFC">
      <w:pPr>
        <w:spacing w:before="240" w:after="120"/>
        <w:outlineLvl w:val="0"/>
        <w:rPr>
          <w:b/>
          <w:color w:val="000000"/>
          <w:lang w:eastAsia="en-GB"/>
        </w:rPr>
      </w:pPr>
      <w:r w:rsidRPr="008D6AFC">
        <w:rPr>
          <w:b/>
          <w:color w:val="000000"/>
          <w:lang w:eastAsia="en-GB"/>
        </w:rPr>
        <w:t>Interest Rates</w:t>
      </w:r>
      <w:r w:rsidR="00C51153" w:rsidRPr="008D6AFC">
        <w:rPr>
          <w:b/>
          <w:color w:val="000000"/>
          <w:lang w:eastAsia="en-GB"/>
        </w:rPr>
        <w:t xml:space="preserve"> and Inflation</w:t>
      </w:r>
    </w:p>
    <w:p w14:paraId="034DA930" w14:textId="77777777" w:rsidR="00345269" w:rsidRPr="009F6D9E" w:rsidRDefault="009F6D9E" w:rsidP="002F59E6">
      <w:pPr>
        <w:numPr>
          <w:ilvl w:val="0"/>
          <w:numId w:val="38"/>
        </w:numPr>
        <w:autoSpaceDE w:val="0"/>
        <w:autoSpaceDN w:val="0"/>
        <w:adjustRightInd w:val="0"/>
        <w:ind w:left="426" w:hanging="426"/>
        <w:jc w:val="both"/>
        <w:rPr>
          <w:rFonts w:cs="Arial"/>
        </w:rPr>
      </w:pPr>
      <w:r>
        <w:t>The Monetary Policy Committee met on 2</w:t>
      </w:r>
      <w:r w:rsidRPr="009F6D9E">
        <w:rPr>
          <w:vertAlign w:val="superscript"/>
        </w:rPr>
        <w:t>nd</w:t>
      </w:r>
      <w:r>
        <w:t xml:space="preserve"> November 2017 and voted unanimously to increase the base rate by 0.25% to </w:t>
      </w:r>
      <w:r w:rsidRPr="008E4AFF">
        <w:t>0.5%. It is yet to be seen w</w:t>
      </w:r>
      <w:r w:rsidRPr="009F6D9E">
        <w:rPr>
          <w:rFonts w:cs="Arial"/>
          <w:spacing w:val="-5"/>
        </w:rPr>
        <w:t>hether this will be a one off increase or the start of a slow, but regular, increase in B</w:t>
      </w:r>
      <w:r w:rsidR="00AC4C4E">
        <w:rPr>
          <w:rFonts w:cs="Arial"/>
          <w:spacing w:val="-5"/>
        </w:rPr>
        <w:t>ase</w:t>
      </w:r>
      <w:r w:rsidRPr="009F6D9E">
        <w:rPr>
          <w:rFonts w:cs="Arial"/>
          <w:spacing w:val="-5"/>
        </w:rPr>
        <w:t xml:space="preserve"> Rate</w:t>
      </w:r>
      <w:r w:rsidR="00AC4C4E">
        <w:rPr>
          <w:rFonts w:cs="Arial"/>
          <w:spacing w:val="-5"/>
        </w:rPr>
        <w:t>.</w:t>
      </w:r>
      <w:r w:rsidRPr="009F6D9E">
        <w:rPr>
          <w:rFonts w:cs="Arial"/>
          <w:spacing w:val="-5"/>
        </w:rPr>
        <w:t xml:space="preserve"> </w:t>
      </w:r>
      <w:r w:rsidR="00256B2D">
        <w:rPr>
          <w:rFonts w:cs="Arial"/>
          <w:spacing w:val="-5"/>
        </w:rPr>
        <w:t>W</w:t>
      </w:r>
      <w:r w:rsidRPr="009F6D9E">
        <w:rPr>
          <w:rFonts w:cs="Arial"/>
          <w:spacing w:val="-5"/>
        </w:rPr>
        <w:t>hile there is so much uncertainty regarding the Brexit negotiations, consumer confidence, and business confidence to spend on investing, it is far too early to be confident about how the next two years will pan out</w:t>
      </w:r>
      <w:r>
        <w:rPr>
          <w:rFonts w:cs="Arial"/>
          <w:spacing w:val="-5"/>
        </w:rPr>
        <w:t>.</w:t>
      </w:r>
    </w:p>
    <w:p w14:paraId="556036A8" w14:textId="77777777" w:rsidR="009F6D9E" w:rsidRPr="009F6D9E" w:rsidRDefault="009F6D9E" w:rsidP="009F6D9E">
      <w:pPr>
        <w:autoSpaceDE w:val="0"/>
        <w:autoSpaceDN w:val="0"/>
        <w:adjustRightInd w:val="0"/>
        <w:ind w:left="720"/>
        <w:jc w:val="both"/>
        <w:rPr>
          <w:rFonts w:cs="Arial"/>
        </w:rPr>
      </w:pPr>
    </w:p>
    <w:p w14:paraId="77E620B3" w14:textId="76082BC9" w:rsidR="009F6D9E" w:rsidRPr="008D6AFC" w:rsidRDefault="009F6D9E" w:rsidP="008D6AFC">
      <w:pPr>
        <w:numPr>
          <w:ilvl w:val="0"/>
          <w:numId w:val="38"/>
        </w:numPr>
        <w:autoSpaceDE w:val="0"/>
        <w:autoSpaceDN w:val="0"/>
        <w:adjustRightInd w:val="0"/>
        <w:ind w:left="426" w:hanging="426"/>
        <w:jc w:val="both"/>
      </w:pPr>
      <w:r w:rsidRPr="008D6AFC">
        <w:rPr>
          <w:rFonts w:cs="Arial"/>
          <w:spacing w:val="-5"/>
        </w:rPr>
        <w:t xml:space="preserve">Reports during 2017 have clearly flagged that CPI inflation </w:t>
      </w:r>
      <w:r w:rsidR="003D09F7" w:rsidRPr="008D6AFC">
        <w:rPr>
          <w:rFonts w:cs="Arial"/>
          <w:spacing w:val="-5"/>
        </w:rPr>
        <w:t xml:space="preserve">is expected </w:t>
      </w:r>
      <w:r w:rsidRPr="008D6AFC">
        <w:rPr>
          <w:rFonts w:cs="Arial"/>
          <w:spacing w:val="-5"/>
        </w:rPr>
        <w:t xml:space="preserve">to peak at just under 3% in 2017, before falling back to near to its target rate of 2% in two years’ time. Inflation </w:t>
      </w:r>
      <w:r w:rsidR="003D09F7" w:rsidRPr="008D6AFC">
        <w:rPr>
          <w:rFonts w:cs="Arial"/>
          <w:spacing w:val="-5"/>
        </w:rPr>
        <w:t xml:space="preserve">was </w:t>
      </w:r>
      <w:r w:rsidRPr="008D6AFC">
        <w:rPr>
          <w:rFonts w:cs="Arial"/>
          <w:spacing w:val="-5"/>
        </w:rPr>
        <w:t>2.9% in August and so the Bank</w:t>
      </w:r>
      <w:r w:rsidR="003D09F7" w:rsidRPr="008D6AFC">
        <w:rPr>
          <w:rFonts w:cs="Arial"/>
          <w:spacing w:val="-5"/>
        </w:rPr>
        <w:t xml:space="preserve"> of England</w:t>
      </w:r>
      <w:r w:rsidRPr="008D6AFC">
        <w:rPr>
          <w:rFonts w:cs="Arial"/>
          <w:spacing w:val="-5"/>
        </w:rPr>
        <w:t xml:space="preserve"> revised its forecast for the peak to over 3% at the September M</w:t>
      </w:r>
      <w:r w:rsidR="003D09F7" w:rsidRPr="008D6AFC">
        <w:rPr>
          <w:rFonts w:cs="Arial"/>
          <w:spacing w:val="-5"/>
        </w:rPr>
        <w:t xml:space="preserve">onetary </w:t>
      </w:r>
      <w:r w:rsidRPr="008D6AFC">
        <w:rPr>
          <w:rFonts w:cs="Arial"/>
          <w:spacing w:val="-5"/>
        </w:rPr>
        <w:t>P</w:t>
      </w:r>
      <w:r w:rsidR="003D09F7" w:rsidRPr="008D6AFC">
        <w:rPr>
          <w:rFonts w:cs="Arial"/>
          <w:spacing w:val="-5"/>
        </w:rPr>
        <w:t xml:space="preserve">olicy </w:t>
      </w:r>
      <w:r w:rsidRPr="008D6AFC">
        <w:rPr>
          <w:rFonts w:cs="Arial"/>
          <w:spacing w:val="-5"/>
        </w:rPr>
        <w:t>C</w:t>
      </w:r>
      <w:r w:rsidR="003D09F7" w:rsidRPr="008D6AFC">
        <w:rPr>
          <w:rFonts w:cs="Arial"/>
          <w:spacing w:val="-5"/>
        </w:rPr>
        <w:t>ommittee</w:t>
      </w:r>
      <w:r w:rsidRPr="008D6AFC">
        <w:rPr>
          <w:rFonts w:cs="Arial"/>
          <w:spacing w:val="-5"/>
        </w:rPr>
        <w:t xml:space="preserve"> meeting. </w:t>
      </w:r>
    </w:p>
    <w:p w14:paraId="5281715B" w14:textId="77777777" w:rsidR="005B2B22" w:rsidRPr="008D6AFC" w:rsidRDefault="005B2B22" w:rsidP="008D6AFC">
      <w:pPr>
        <w:spacing w:before="240" w:after="120"/>
        <w:outlineLvl w:val="0"/>
        <w:rPr>
          <w:b/>
          <w:color w:val="000000"/>
          <w:lang w:eastAsia="en-GB"/>
        </w:rPr>
      </w:pPr>
      <w:r w:rsidRPr="008D6AFC">
        <w:rPr>
          <w:b/>
          <w:color w:val="000000"/>
          <w:lang w:eastAsia="en-GB"/>
        </w:rPr>
        <w:t>Local Government Finance Settlement 201</w:t>
      </w:r>
      <w:r w:rsidR="00BE4A4D" w:rsidRPr="008D6AFC">
        <w:rPr>
          <w:b/>
          <w:color w:val="000000"/>
          <w:lang w:eastAsia="en-GB"/>
        </w:rPr>
        <w:t>8</w:t>
      </w:r>
      <w:r w:rsidRPr="008D6AFC">
        <w:rPr>
          <w:b/>
          <w:color w:val="000000"/>
          <w:lang w:eastAsia="en-GB"/>
        </w:rPr>
        <w:t>/1</w:t>
      </w:r>
      <w:r w:rsidR="00BE4A4D" w:rsidRPr="008D6AFC">
        <w:rPr>
          <w:b/>
          <w:color w:val="000000"/>
          <w:lang w:eastAsia="en-GB"/>
        </w:rPr>
        <w:t>9</w:t>
      </w:r>
    </w:p>
    <w:p w14:paraId="4AE6937D" w14:textId="77777777" w:rsidR="007F3758" w:rsidRDefault="00854EDB" w:rsidP="002F59E6">
      <w:pPr>
        <w:pStyle w:val="Default"/>
        <w:numPr>
          <w:ilvl w:val="0"/>
          <w:numId w:val="38"/>
        </w:numPr>
        <w:ind w:left="426"/>
      </w:pPr>
      <w:r w:rsidRPr="0041193C">
        <w:t>A</w:t>
      </w:r>
      <w:r w:rsidR="007F3758" w:rsidRPr="0041193C">
        <w:t xml:space="preserve">s in previous years a one year </w:t>
      </w:r>
      <w:r w:rsidRPr="0041193C">
        <w:t>Council Tax F</w:t>
      </w:r>
      <w:r w:rsidR="007F3758" w:rsidRPr="0041193C">
        <w:t xml:space="preserve">reeze </w:t>
      </w:r>
      <w:r w:rsidRPr="0041193C">
        <w:t>G</w:t>
      </w:r>
      <w:r w:rsidR="007F3758" w:rsidRPr="0041193C">
        <w:t xml:space="preserve">rant </w:t>
      </w:r>
      <w:r w:rsidRPr="0041193C">
        <w:t>is expected to be av</w:t>
      </w:r>
      <w:r w:rsidR="007F3758" w:rsidRPr="0041193C">
        <w:t xml:space="preserve">ailable to authorities that freeze their </w:t>
      </w:r>
      <w:r w:rsidR="00771B17" w:rsidRPr="0041193C">
        <w:t>C</w:t>
      </w:r>
      <w:r w:rsidR="007F3758" w:rsidRPr="0041193C">
        <w:t xml:space="preserve">ouncil </w:t>
      </w:r>
      <w:r w:rsidR="00771B17" w:rsidRPr="0041193C">
        <w:t>T</w:t>
      </w:r>
      <w:r w:rsidR="007F3758" w:rsidRPr="0041193C">
        <w:t xml:space="preserve">ax at the previous </w:t>
      </w:r>
      <w:r w:rsidR="00AB541D" w:rsidRPr="0041193C">
        <w:t>year’s</w:t>
      </w:r>
      <w:r w:rsidR="007F3758" w:rsidRPr="0041193C">
        <w:t xml:space="preserve"> level, equivalent to the product of a 1% </w:t>
      </w:r>
      <w:r w:rsidR="003D09F7">
        <w:t>C</w:t>
      </w:r>
      <w:r w:rsidR="00370967" w:rsidRPr="0041193C">
        <w:t xml:space="preserve">ouncil </w:t>
      </w:r>
      <w:r w:rsidR="003D09F7">
        <w:t>T</w:t>
      </w:r>
      <w:r w:rsidR="00370967" w:rsidRPr="0041193C">
        <w:t xml:space="preserve">ax </w:t>
      </w:r>
      <w:r w:rsidR="007F3758" w:rsidRPr="0041193C">
        <w:t xml:space="preserve">increase. Given the loss of revenue to the </w:t>
      </w:r>
      <w:r w:rsidR="00771B17" w:rsidRPr="0041193C">
        <w:t>C</w:t>
      </w:r>
      <w:r w:rsidR="007F3758" w:rsidRPr="0041193C">
        <w:t xml:space="preserve">ouncil in the current and following years the recommendation is for the </w:t>
      </w:r>
      <w:r w:rsidR="00771B17" w:rsidRPr="0041193C">
        <w:t>C</w:t>
      </w:r>
      <w:r w:rsidR="007F3758" w:rsidRPr="0041193C">
        <w:t xml:space="preserve">ouncil to increase </w:t>
      </w:r>
      <w:r w:rsidR="00771B17" w:rsidRPr="0041193C">
        <w:t>C</w:t>
      </w:r>
      <w:r w:rsidR="007F3758" w:rsidRPr="0041193C">
        <w:t xml:space="preserve">ouncil </w:t>
      </w:r>
      <w:r w:rsidR="00771B17" w:rsidRPr="0041193C">
        <w:t>T</w:t>
      </w:r>
      <w:r w:rsidR="007F3758" w:rsidRPr="0041193C">
        <w:t xml:space="preserve">ax up to the maximum level </w:t>
      </w:r>
      <w:r w:rsidR="003D09F7">
        <w:t>before</w:t>
      </w:r>
      <w:r w:rsidR="007F3758" w:rsidRPr="0041193C">
        <w:t xml:space="preserve"> a referendum is required. It is expected that this level will be </w:t>
      </w:r>
      <w:r w:rsidR="00E05A27" w:rsidRPr="0041193C">
        <w:t>2</w:t>
      </w:r>
      <w:r w:rsidR="007F3758" w:rsidRPr="0041193C">
        <w:t xml:space="preserve">% although this is subject to confirmation. </w:t>
      </w:r>
    </w:p>
    <w:p w14:paraId="0AB4FDAD" w14:textId="77777777" w:rsidR="00844083" w:rsidRPr="0041193C" w:rsidRDefault="00844083" w:rsidP="00844083">
      <w:pPr>
        <w:pStyle w:val="Default"/>
        <w:ind w:left="426"/>
      </w:pPr>
    </w:p>
    <w:p w14:paraId="5C749277" w14:textId="77777777" w:rsidR="00BE4A4D" w:rsidRPr="0041193C" w:rsidRDefault="00BE4A4D" w:rsidP="002F59E6">
      <w:pPr>
        <w:pStyle w:val="Default"/>
        <w:numPr>
          <w:ilvl w:val="0"/>
          <w:numId w:val="38"/>
        </w:numPr>
        <w:ind w:left="426" w:hanging="284"/>
      </w:pPr>
      <w:r w:rsidRPr="0041193C">
        <w:t>Revenue Support Grant will be £630k in 2018-19 which has already been agreed following the signing of an ‘efficiency deal’ with Government</w:t>
      </w:r>
      <w:r w:rsidR="002951A8" w:rsidRPr="0041193C">
        <w:t xml:space="preserve"> in 2016-17</w:t>
      </w:r>
      <w:r w:rsidRPr="0041193C">
        <w:t xml:space="preserve">. With effect from 1/4/2019 Revenue Support Grant will reduce to zero, a reduction of around £9.3million since 2013-14. </w:t>
      </w:r>
    </w:p>
    <w:p w14:paraId="7F23B70B" w14:textId="77777777" w:rsidR="00F254C7" w:rsidRDefault="00F254C7" w:rsidP="00844083">
      <w:pPr>
        <w:spacing w:after="120"/>
        <w:ind w:left="426" w:right="386" w:hanging="66"/>
        <w:jc w:val="both"/>
        <w:rPr>
          <w:b/>
        </w:rPr>
      </w:pPr>
    </w:p>
    <w:p w14:paraId="67E56460" w14:textId="77777777" w:rsidR="00D14370" w:rsidRDefault="00D14370" w:rsidP="00844083">
      <w:pPr>
        <w:spacing w:after="120"/>
        <w:ind w:left="426" w:right="386" w:hanging="66"/>
        <w:jc w:val="both"/>
        <w:rPr>
          <w:b/>
        </w:rPr>
      </w:pPr>
    </w:p>
    <w:p w14:paraId="18321CB5" w14:textId="77777777" w:rsidR="009E51EC" w:rsidRPr="008D6AFC" w:rsidRDefault="007B6AB3" w:rsidP="008D6AFC">
      <w:pPr>
        <w:spacing w:before="240" w:after="120"/>
        <w:outlineLvl w:val="0"/>
        <w:rPr>
          <w:b/>
          <w:color w:val="000000"/>
          <w:lang w:eastAsia="en-GB"/>
        </w:rPr>
      </w:pPr>
      <w:r w:rsidRPr="008D6AFC">
        <w:rPr>
          <w:b/>
          <w:color w:val="000000"/>
          <w:lang w:eastAsia="en-GB"/>
        </w:rPr>
        <w:t xml:space="preserve">Retained </w:t>
      </w:r>
      <w:r w:rsidR="00B16E72" w:rsidRPr="008D6AFC">
        <w:rPr>
          <w:b/>
          <w:color w:val="000000"/>
          <w:lang w:eastAsia="en-GB"/>
        </w:rPr>
        <w:t>Business Rates</w:t>
      </w:r>
    </w:p>
    <w:p w14:paraId="5583FB08" w14:textId="77777777" w:rsidR="0041193C" w:rsidRPr="001957FB" w:rsidRDefault="00844083" w:rsidP="0041193C">
      <w:pPr>
        <w:pStyle w:val="ListParagraph"/>
        <w:numPr>
          <w:ilvl w:val="0"/>
          <w:numId w:val="38"/>
        </w:numPr>
        <w:spacing w:after="120"/>
        <w:ind w:left="426" w:right="386" w:hanging="284"/>
        <w:jc w:val="both"/>
      </w:pPr>
      <w:r>
        <w:t xml:space="preserve"> </w:t>
      </w:r>
      <w:r w:rsidR="001E172C" w:rsidRPr="001957FB">
        <w:t xml:space="preserve">Business rates income collected by the Oxford City Council as billing authority is split 50/50 with central government with the balance split 80/20 between Oxford City Council and Oxfordshire County Council respectively. </w:t>
      </w:r>
      <w:r w:rsidR="009E51EC" w:rsidRPr="001957FB">
        <w:t xml:space="preserve"> </w:t>
      </w:r>
      <w:r w:rsidR="001E172C" w:rsidRPr="001957FB">
        <w:t xml:space="preserve">From our 80% share the Council pays a tariff to central government and retains a baseline amount (set by the Government) together with 50% of </w:t>
      </w:r>
      <w:r w:rsidR="003D09F7">
        <w:t>any</w:t>
      </w:r>
      <w:r w:rsidR="001E172C" w:rsidRPr="001957FB">
        <w:t xml:space="preserve"> income above th</w:t>
      </w:r>
      <w:r w:rsidR="003D09F7">
        <w:t>e</w:t>
      </w:r>
      <w:r w:rsidR="001E172C" w:rsidRPr="001957FB">
        <w:t xml:space="preserve"> baseline. </w:t>
      </w:r>
      <w:r w:rsidR="00860300" w:rsidRPr="001957FB">
        <w:t xml:space="preserve">The main components of the system </w:t>
      </w:r>
      <w:r w:rsidR="002A5B89" w:rsidRPr="001957FB">
        <w:t xml:space="preserve">with estimates of individual elements for </w:t>
      </w:r>
      <w:r w:rsidR="00F87AA0" w:rsidRPr="001957FB">
        <w:t xml:space="preserve"> </w:t>
      </w:r>
      <w:r w:rsidR="002A5B89" w:rsidRPr="001957FB">
        <w:t>Oxford City for 201</w:t>
      </w:r>
      <w:r w:rsidR="001957FB">
        <w:t>8</w:t>
      </w:r>
      <w:r w:rsidR="002A5B89" w:rsidRPr="001957FB">
        <w:t>/1</w:t>
      </w:r>
      <w:r w:rsidR="001957FB">
        <w:t>9</w:t>
      </w:r>
      <w:r w:rsidR="002A5B89" w:rsidRPr="001957FB">
        <w:t xml:space="preserve"> are as follows</w:t>
      </w:r>
      <w:r w:rsidR="008F0D26" w:rsidRPr="001957FB">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268"/>
      </w:tblGrid>
      <w:tr w:rsidR="00096BAD" w:rsidRPr="001957FB" w14:paraId="62845752" w14:textId="77777777" w:rsidTr="00A541EB">
        <w:tc>
          <w:tcPr>
            <w:tcW w:w="8364" w:type="dxa"/>
            <w:gridSpan w:val="2"/>
            <w:shd w:val="clear" w:color="auto" w:fill="BFBFBF"/>
          </w:tcPr>
          <w:p w14:paraId="43425359" w14:textId="77777777" w:rsidR="00096BAD" w:rsidRPr="001957FB" w:rsidRDefault="00096BAD" w:rsidP="008E66A7">
            <w:pPr>
              <w:spacing w:after="120"/>
              <w:ind w:right="386"/>
              <w:rPr>
                <w:b/>
              </w:rPr>
            </w:pPr>
            <w:r w:rsidRPr="001957FB">
              <w:rPr>
                <w:b/>
              </w:rPr>
              <w:t xml:space="preserve">Table </w:t>
            </w:r>
            <w:r w:rsidR="008E66A7">
              <w:rPr>
                <w:b/>
              </w:rPr>
              <w:t>1</w:t>
            </w:r>
            <w:r w:rsidRPr="001957FB">
              <w:rPr>
                <w:b/>
              </w:rPr>
              <w:t xml:space="preserve"> : Retained Business Rates 201</w:t>
            </w:r>
            <w:r w:rsidR="00BE4A4D" w:rsidRPr="001957FB">
              <w:rPr>
                <w:b/>
              </w:rPr>
              <w:t>8</w:t>
            </w:r>
            <w:r w:rsidRPr="001957FB">
              <w:rPr>
                <w:b/>
              </w:rPr>
              <w:t>-1</w:t>
            </w:r>
            <w:r w:rsidR="00BE4A4D" w:rsidRPr="001957FB">
              <w:rPr>
                <w:b/>
              </w:rPr>
              <w:t>9</w:t>
            </w:r>
          </w:p>
        </w:tc>
      </w:tr>
      <w:tr w:rsidR="00096BAD" w:rsidRPr="001957FB" w14:paraId="16B9EFDE" w14:textId="77777777" w:rsidTr="00A541EB">
        <w:tc>
          <w:tcPr>
            <w:tcW w:w="6096" w:type="dxa"/>
            <w:shd w:val="clear" w:color="auto" w:fill="BFBFBF"/>
          </w:tcPr>
          <w:p w14:paraId="0A16C467" w14:textId="77777777" w:rsidR="00096BAD" w:rsidRPr="001957FB" w:rsidRDefault="00096BAD" w:rsidP="005823A7">
            <w:pPr>
              <w:spacing w:after="120"/>
              <w:ind w:right="386"/>
              <w:jc w:val="both"/>
            </w:pPr>
          </w:p>
        </w:tc>
        <w:tc>
          <w:tcPr>
            <w:tcW w:w="2268" w:type="dxa"/>
            <w:shd w:val="clear" w:color="auto" w:fill="BFBFBF"/>
          </w:tcPr>
          <w:p w14:paraId="26794E34" w14:textId="77777777" w:rsidR="00096BAD" w:rsidRPr="001957FB" w:rsidRDefault="00096BAD" w:rsidP="005823A7">
            <w:pPr>
              <w:spacing w:after="120"/>
              <w:ind w:right="386"/>
              <w:jc w:val="center"/>
              <w:rPr>
                <w:b/>
              </w:rPr>
            </w:pPr>
            <w:r w:rsidRPr="001957FB">
              <w:rPr>
                <w:b/>
              </w:rPr>
              <w:t>£million</w:t>
            </w:r>
          </w:p>
        </w:tc>
      </w:tr>
      <w:tr w:rsidR="00096BAD" w:rsidRPr="001957FB" w14:paraId="2198CBDB" w14:textId="77777777" w:rsidTr="00A541EB">
        <w:tc>
          <w:tcPr>
            <w:tcW w:w="6096" w:type="dxa"/>
            <w:shd w:val="clear" w:color="auto" w:fill="auto"/>
          </w:tcPr>
          <w:p w14:paraId="7633DC5B" w14:textId="77777777" w:rsidR="00096BAD" w:rsidRPr="001957FB" w:rsidRDefault="00096BAD" w:rsidP="005823A7">
            <w:pPr>
              <w:tabs>
                <w:tab w:val="left" w:pos="0"/>
              </w:tabs>
              <w:spacing w:after="120"/>
              <w:ind w:left="34" w:right="386"/>
            </w:pPr>
            <w:r w:rsidRPr="001957FB">
              <w:t>Estimated Business Rates Income</w:t>
            </w:r>
          </w:p>
        </w:tc>
        <w:tc>
          <w:tcPr>
            <w:tcW w:w="2268" w:type="dxa"/>
            <w:shd w:val="clear" w:color="auto" w:fill="auto"/>
          </w:tcPr>
          <w:p w14:paraId="3E997E8D" w14:textId="77777777" w:rsidR="00096BAD" w:rsidRPr="001957FB" w:rsidRDefault="00BE4A4D" w:rsidP="00B90A58">
            <w:pPr>
              <w:spacing w:after="120"/>
              <w:ind w:right="386"/>
              <w:jc w:val="right"/>
            </w:pPr>
            <w:r w:rsidRPr="001957FB">
              <w:t>101.763</w:t>
            </w:r>
          </w:p>
        </w:tc>
      </w:tr>
      <w:tr w:rsidR="00096BAD" w:rsidRPr="001957FB" w14:paraId="101A9E30" w14:textId="77777777" w:rsidTr="00A541EB">
        <w:tc>
          <w:tcPr>
            <w:tcW w:w="6096" w:type="dxa"/>
            <w:shd w:val="clear" w:color="auto" w:fill="auto"/>
          </w:tcPr>
          <w:p w14:paraId="7DD141DC" w14:textId="77777777" w:rsidR="00096BAD" w:rsidRPr="001957FB" w:rsidRDefault="00096BAD" w:rsidP="005823A7">
            <w:pPr>
              <w:spacing w:after="120"/>
              <w:ind w:right="386"/>
            </w:pPr>
            <w:r w:rsidRPr="001957FB">
              <w:t>Billing Authority Share (50%)</w:t>
            </w:r>
          </w:p>
        </w:tc>
        <w:tc>
          <w:tcPr>
            <w:tcW w:w="2268" w:type="dxa"/>
            <w:shd w:val="clear" w:color="auto" w:fill="auto"/>
          </w:tcPr>
          <w:p w14:paraId="5FD882B1" w14:textId="77777777" w:rsidR="00096BAD" w:rsidRPr="001957FB" w:rsidRDefault="00BE4A4D" w:rsidP="00BE4A4D">
            <w:pPr>
              <w:spacing w:after="120"/>
              <w:ind w:right="386"/>
              <w:jc w:val="right"/>
            </w:pPr>
            <w:r w:rsidRPr="001957FB">
              <w:t>50</w:t>
            </w:r>
            <w:r w:rsidR="004C288D" w:rsidRPr="001957FB">
              <w:t>.</w:t>
            </w:r>
            <w:r w:rsidRPr="001957FB">
              <w:t>881</w:t>
            </w:r>
          </w:p>
        </w:tc>
      </w:tr>
      <w:tr w:rsidR="00096BAD" w:rsidRPr="001957FB" w14:paraId="5CE34940" w14:textId="77777777" w:rsidTr="00A541EB">
        <w:tc>
          <w:tcPr>
            <w:tcW w:w="6096" w:type="dxa"/>
            <w:shd w:val="clear" w:color="auto" w:fill="auto"/>
          </w:tcPr>
          <w:p w14:paraId="683361C4" w14:textId="77777777" w:rsidR="00096BAD" w:rsidRPr="001957FB" w:rsidRDefault="00096BAD" w:rsidP="002E3E05">
            <w:pPr>
              <w:spacing w:after="120"/>
              <w:ind w:right="386"/>
            </w:pPr>
            <w:r w:rsidRPr="001957FB">
              <w:t>Oxford City Share (80%)</w:t>
            </w:r>
            <w:r w:rsidRPr="001957FB">
              <w:tab/>
            </w:r>
          </w:p>
        </w:tc>
        <w:tc>
          <w:tcPr>
            <w:tcW w:w="2268" w:type="dxa"/>
            <w:shd w:val="clear" w:color="auto" w:fill="auto"/>
          </w:tcPr>
          <w:p w14:paraId="163A7D3D" w14:textId="77777777" w:rsidR="00096BAD" w:rsidRPr="001957FB" w:rsidRDefault="00BE4A4D" w:rsidP="00BE4A4D">
            <w:pPr>
              <w:spacing w:after="120"/>
              <w:ind w:right="386"/>
              <w:jc w:val="right"/>
            </w:pPr>
            <w:r w:rsidRPr="001957FB">
              <w:t>40</w:t>
            </w:r>
            <w:r w:rsidR="004C288D" w:rsidRPr="001957FB">
              <w:t>.</w:t>
            </w:r>
            <w:r w:rsidRPr="001957FB">
              <w:t>705</w:t>
            </w:r>
          </w:p>
        </w:tc>
      </w:tr>
      <w:tr w:rsidR="00096BAD" w:rsidRPr="001957FB" w14:paraId="16BDDE1B" w14:textId="77777777" w:rsidTr="00A541EB">
        <w:tc>
          <w:tcPr>
            <w:tcW w:w="6096" w:type="dxa"/>
            <w:shd w:val="clear" w:color="auto" w:fill="auto"/>
          </w:tcPr>
          <w:p w14:paraId="167E1004" w14:textId="77777777" w:rsidR="00096BAD" w:rsidRPr="001957FB" w:rsidRDefault="00096BAD" w:rsidP="005823A7">
            <w:pPr>
              <w:spacing w:after="120"/>
              <w:ind w:right="386"/>
            </w:pPr>
            <w:r w:rsidRPr="001957FB">
              <w:t>Less Tariff paid to Government</w:t>
            </w:r>
          </w:p>
        </w:tc>
        <w:tc>
          <w:tcPr>
            <w:tcW w:w="2268" w:type="dxa"/>
            <w:shd w:val="clear" w:color="auto" w:fill="auto"/>
          </w:tcPr>
          <w:p w14:paraId="7D393547" w14:textId="77777777" w:rsidR="00096BAD" w:rsidRPr="001957FB" w:rsidRDefault="004C288D" w:rsidP="00BE4A4D">
            <w:pPr>
              <w:spacing w:after="120"/>
              <w:ind w:right="386"/>
              <w:jc w:val="right"/>
            </w:pPr>
            <w:r w:rsidRPr="001957FB">
              <w:t>2</w:t>
            </w:r>
            <w:r w:rsidR="00BE4A4D" w:rsidRPr="001957FB">
              <w:t>9</w:t>
            </w:r>
            <w:r w:rsidRPr="001957FB">
              <w:t>.</w:t>
            </w:r>
            <w:r w:rsidR="00BE4A4D" w:rsidRPr="001957FB">
              <w:t>515</w:t>
            </w:r>
          </w:p>
        </w:tc>
      </w:tr>
      <w:tr w:rsidR="00096BAD" w:rsidRPr="001957FB" w14:paraId="13D083D2" w14:textId="77777777" w:rsidTr="00A541EB">
        <w:tc>
          <w:tcPr>
            <w:tcW w:w="6096" w:type="dxa"/>
            <w:shd w:val="clear" w:color="auto" w:fill="BFBFBF"/>
          </w:tcPr>
          <w:p w14:paraId="0CFE6849" w14:textId="77777777" w:rsidR="00096BAD" w:rsidRPr="001957FB" w:rsidRDefault="00096BAD" w:rsidP="005823A7">
            <w:pPr>
              <w:spacing w:after="120"/>
              <w:ind w:right="386"/>
              <w:rPr>
                <w:b/>
              </w:rPr>
            </w:pPr>
            <w:r w:rsidRPr="001957FB">
              <w:rPr>
                <w:b/>
              </w:rPr>
              <w:t>Amount remaining after tariff</w:t>
            </w:r>
            <w:r w:rsidR="00A541EB" w:rsidRPr="001957FB">
              <w:rPr>
                <w:b/>
              </w:rPr>
              <w:t xml:space="preserve"> </w:t>
            </w:r>
          </w:p>
        </w:tc>
        <w:tc>
          <w:tcPr>
            <w:tcW w:w="2268" w:type="dxa"/>
            <w:shd w:val="clear" w:color="auto" w:fill="BFBFBF"/>
          </w:tcPr>
          <w:p w14:paraId="16F36E05" w14:textId="77777777" w:rsidR="00096BAD" w:rsidRPr="001957FB" w:rsidRDefault="00BE4A4D" w:rsidP="002E3E05">
            <w:pPr>
              <w:spacing w:after="120"/>
              <w:ind w:right="386"/>
              <w:jc w:val="right"/>
              <w:rPr>
                <w:b/>
              </w:rPr>
            </w:pPr>
            <w:r w:rsidRPr="001957FB">
              <w:rPr>
                <w:b/>
              </w:rPr>
              <w:t>11.190</w:t>
            </w:r>
          </w:p>
        </w:tc>
      </w:tr>
      <w:tr w:rsidR="00096BAD" w:rsidRPr="001957FB" w14:paraId="67D9C9D8" w14:textId="77777777" w:rsidTr="00A541EB">
        <w:tc>
          <w:tcPr>
            <w:tcW w:w="6096" w:type="dxa"/>
            <w:shd w:val="clear" w:color="auto" w:fill="auto"/>
          </w:tcPr>
          <w:p w14:paraId="415DC623" w14:textId="77777777" w:rsidR="00096BAD" w:rsidRPr="001957FB" w:rsidRDefault="00096BAD" w:rsidP="005823A7">
            <w:pPr>
              <w:spacing w:after="120"/>
              <w:ind w:right="386"/>
            </w:pPr>
            <w:r w:rsidRPr="001957FB">
              <w:t>Baseline Business Rates</w:t>
            </w:r>
            <w:r w:rsidR="00A541EB" w:rsidRPr="001957FB">
              <w:t xml:space="preserve"> </w:t>
            </w:r>
            <w:r w:rsidR="00A541EB" w:rsidRPr="001957FB">
              <w:rPr>
                <w:b/>
              </w:rPr>
              <w:t>(A)</w:t>
            </w:r>
          </w:p>
        </w:tc>
        <w:tc>
          <w:tcPr>
            <w:tcW w:w="2268" w:type="dxa"/>
            <w:shd w:val="clear" w:color="auto" w:fill="auto"/>
          </w:tcPr>
          <w:p w14:paraId="4587050E" w14:textId="77777777" w:rsidR="00096BAD" w:rsidRPr="001957FB" w:rsidRDefault="00BE4A4D" w:rsidP="00BE4A4D">
            <w:pPr>
              <w:spacing w:after="120"/>
              <w:ind w:right="386"/>
              <w:jc w:val="right"/>
            </w:pPr>
            <w:r w:rsidRPr="001957FB">
              <w:t>6</w:t>
            </w:r>
            <w:r w:rsidR="004C288D" w:rsidRPr="001957FB">
              <w:t>.</w:t>
            </w:r>
            <w:r w:rsidRPr="001957FB">
              <w:t>034</w:t>
            </w:r>
          </w:p>
        </w:tc>
      </w:tr>
      <w:tr w:rsidR="00096BAD" w:rsidRPr="001957FB" w14:paraId="1B62F740" w14:textId="77777777" w:rsidTr="00A541EB">
        <w:tc>
          <w:tcPr>
            <w:tcW w:w="6096" w:type="dxa"/>
            <w:shd w:val="clear" w:color="auto" w:fill="auto"/>
          </w:tcPr>
          <w:p w14:paraId="2921428E" w14:textId="77777777" w:rsidR="00096BAD" w:rsidRPr="001957FB" w:rsidRDefault="00096BAD" w:rsidP="00BE4A4D">
            <w:pPr>
              <w:spacing w:after="120"/>
              <w:ind w:right="386"/>
            </w:pPr>
            <w:r w:rsidRPr="001957FB">
              <w:t>Income above baseline (</w:t>
            </w:r>
            <w:r w:rsidR="00BE4A4D" w:rsidRPr="001957FB">
              <w:t>11</w:t>
            </w:r>
            <w:r w:rsidR="004C288D" w:rsidRPr="001957FB">
              <w:t>.</w:t>
            </w:r>
            <w:r w:rsidR="00BE4A4D" w:rsidRPr="001957FB">
              <w:t>190</w:t>
            </w:r>
            <w:r w:rsidR="004C288D" w:rsidRPr="001957FB">
              <w:t>-</w:t>
            </w:r>
            <w:r w:rsidR="00BE4A4D" w:rsidRPr="001957FB">
              <w:t>6.034</w:t>
            </w:r>
            <w:r w:rsidRPr="001957FB">
              <w:t>)</w:t>
            </w:r>
          </w:p>
        </w:tc>
        <w:tc>
          <w:tcPr>
            <w:tcW w:w="2268" w:type="dxa"/>
            <w:shd w:val="clear" w:color="auto" w:fill="auto"/>
          </w:tcPr>
          <w:p w14:paraId="7C030851" w14:textId="77777777" w:rsidR="00096BAD" w:rsidRPr="001957FB" w:rsidRDefault="00BE4A4D" w:rsidP="00096BAD">
            <w:pPr>
              <w:spacing w:after="120"/>
              <w:ind w:right="386"/>
              <w:jc w:val="right"/>
            </w:pPr>
            <w:r w:rsidRPr="001957FB">
              <w:t>5.156</w:t>
            </w:r>
          </w:p>
        </w:tc>
      </w:tr>
      <w:tr w:rsidR="00096BAD" w:rsidRPr="001957FB" w14:paraId="4F16707B" w14:textId="77777777" w:rsidTr="00A541EB">
        <w:tc>
          <w:tcPr>
            <w:tcW w:w="6096" w:type="dxa"/>
            <w:shd w:val="clear" w:color="auto" w:fill="auto"/>
          </w:tcPr>
          <w:p w14:paraId="3EB41469" w14:textId="77777777" w:rsidR="00096BAD" w:rsidRPr="001957FB" w:rsidRDefault="00096BAD" w:rsidP="005823A7">
            <w:pPr>
              <w:spacing w:after="120"/>
              <w:ind w:right="386"/>
            </w:pPr>
            <w:r w:rsidRPr="001957FB">
              <w:t>50% of income above baseline</w:t>
            </w:r>
            <w:r w:rsidR="00A541EB" w:rsidRPr="001957FB">
              <w:t xml:space="preserve"> </w:t>
            </w:r>
            <w:r w:rsidR="00A541EB" w:rsidRPr="001957FB">
              <w:rPr>
                <w:b/>
              </w:rPr>
              <w:t>(B)</w:t>
            </w:r>
          </w:p>
        </w:tc>
        <w:tc>
          <w:tcPr>
            <w:tcW w:w="2268" w:type="dxa"/>
            <w:shd w:val="clear" w:color="auto" w:fill="auto"/>
          </w:tcPr>
          <w:p w14:paraId="1D7FE8E6" w14:textId="77777777" w:rsidR="00096BAD" w:rsidRPr="001957FB" w:rsidRDefault="00BE4A4D" w:rsidP="002E3E05">
            <w:pPr>
              <w:spacing w:after="120"/>
              <w:ind w:right="386"/>
              <w:jc w:val="right"/>
            </w:pPr>
            <w:r w:rsidRPr="001957FB">
              <w:t>2.578</w:t>
            </w:r>
          </w:p>
        </w:tc>
      </w:tr>
      <w:tr w:rsidR="004C288D" w:rsidRPr="001957FB" w14:paraId="2AF113DD" w14:textId="77777777" w:rsidTr="00A541EB">
        <w:tc>
          <w:tcPr>
            <w:tcW w:w="6096" w:type="dxa"/>
            <w:shd w:val="clear" w:color="auto" w:fill="auto"/>
          </w:tcPr>
          <w:p w14:paraId="2AE60FFA" w14:textId="77777777" w:rsidR="004C288D" w:rsidRPr="001957FB" w:rsidRDefault="004C288D" w:rsidP="005823A7">
            <w:pPr>
              <w:spacing w:after="120"/>
              <w:ind w:right="386"/>
            </w:pPr>
            <w:r w:rsidRPr="001957FB">
              <w:t>S31 Grant adjustment</w:t>
            </w:r>
            <w:r w:rsidR="00A541EB" w:rsidRPr="001957FB">
              <w:t xml:space="preserve"> </w:t>
            </w:r>
            <w:r w:rsidR="00A541EB" w:rsidRPr="001957FB">
              <w:rPr>
                <w:b/>
              </w:rPr>
              <w:t>(C)</w:t>
            </w:r>
          </w:p>
        </w:tc>
        <w:tc>
          <w:tcPr>
            <w:tcW w:w="2268" w:type="dxa"/>
            <w:shd w:val="clear" w:color="auto" w:fill="auto"/>
          </w:tcPr>
          <w:p w14:paraId="56FFB5DF" w14:textId="77777777" w:rsidR="004C288D" w:rsidRPr="001957FB" w:rsidRDefault="004C288D" w:rsidP="00A541EB">
            <w:pPr>
              <w:spacing w:after="120"/>
              <w:ind w:right="386"/>
              <w:jc w:val="right"/>
            </w:pPr>
            <w:r w:rsidRPr="001957FB">
              <w:t>(0.4</w:t>
            </w:r>
            <w:r w:rsidR="00A541EB" w:rsidRPr="001957FB">
              <w:t>42</w:t>
            </w:r>
            <w:r w:rsidRPr="001957FB">
              <w:t>)</w:t>
            </w:r>
          </w:p>
        </w:tc>
      </w:tr>
      <w:tr w:rsidR="00096BAD" w:rsidRPr="001957FB" w14:paraId="6CE13EC6" w14:textId="77777777" w:rsidTr="00A541EB">
        <w:tc>
          <w:tcPr>
            <w:tcW w:w="6096" w:type="dxa"/>
            <w:shd w:val="clear" w:color="auto" w:fill="BFBFBF"/>
          </w:tcPr>
          <w:p w14:paraId="7D93D5AE" w14:textId="77777777" w:rsidR="00096BAD" w:rsidRPr="001957FB" w:rsidRDefault="00096BAD" w:rsidP="005823A7">
            <w:pPr>
              <w:spacing w:after="120"/>
              <w:ind w:right="386"/>
              <w:rPr>
                <w:b/>
              </w:rPr>
            </w:pPr>
            <w:r w:rsidRPr="001957FB">
              <w:rPr>
                <w:b/>
              </w:rPr>
              <w:t>Total retained business rate income</w:t>
            </w:r>
            <w:r w:rsidR="00A541EB" w:rsidRPr="001957FB">
              <w:rPr>
                <w:b/>
              </w:rPr>
              <w:t xml:space="preserve"> (A+B+C)</w:t>
            </w:r>
          </w:p>
        </w:tc>
        <w:tc>
          <w:tcPr>
            <w:tcW w:w="2268" w:type="dxa"/>
            <w:shd w:val="clear" w:color="auto" w:fill="BFBFBF"/>
          </w:tcPr>
          <w:p w14:paraId="2B797098" w14:textId="77777777" w:rsidR="00096BAD" w:rsidRPr="001957FB" w:rsidRDefault="00A541EB" w:rsidP="002E3E05">
            <w:pPr>
              <w:spacing w:after="120"/>
              <w:ind w:right="386"/>
              <w:jc w:val="right"/>
              <w:rPr>
                <w:b/>
              </w:rPr>
            </w:pPr>
            <w:r w:rsidRPr="001957FB">
              <w:rPr>
                <w:b/>
              </w:rPr>
              <w:t>8.170</w:t>
            </w:r>
          </w:p>
        </w:tc>
      </w:tr>
    </w:tbl>
    <w:p w14:paraId="18321DAE" w14:textId="77777777" w:rsidR="002E3E05" w:rsidRPr="001957FB" w:rsidRDefault="002E3E05" w:rsidP="00F74748">
      <w:pPr>
        <w:spacing w:after="120"/>
        <w:ind w:left="1440" w:right="386" w:hanging="720"/>
        <w:jc w:val="both"/>
        <w:rPr>
          <w:b/>
        </w:rPr>
      </w:pPr>
    </w:p>
    <w:p w14:paraId="55A9577A" w14:textId="77777777" w:rsidR="002A0774" w:rsidRPr="008D6AFC" w:rsidRDefault="00B8025B" w:rsidP="008D6AFC">
      <w:pPr>
        <w:spacing w:before="240" w:after="120"/>
        <w:outlineLvl w:val="0"/>
        <w:rPr>
          <w:b/>
          <w:color w:val="000000"/>
          <w:lang w:eastAsia="en-GB"/>
        </w:rPr>
      </w:pPr>
      <w:r w:rsidRPr="008D6AFC">
        <w:rPr>
          <w:b/>
          <w:color w:val="000000"/>
          <w:lang w:eastAsia="en-GB"/>
        </w:rPr>
        <w:t>Note</w:t>
      </w:r>
    </w:p>
    <w:p w14:paraId="5C8DD728" w14:textId="77777777" w:rsidR="002A0774" w:rsidRPr="00DE29ED" w:rsidRDefault="002A0774" w:rsidP="006C4C35">
      <w:pPr>
        <w:numPr>
          <w:ilvl w:val="0"/>
          <w:numId w:val="11"/>
        </w:numPr>
        <w:spacing w:after="120"/>
        <w:ind w:left="851" w:right="386"/>
        <w:jc w:val="both"/>
        <w:rPr>
          <w:b/>
        </w:rPr>
      </w:pPr>
      <w:r w:rsidRPr="001957FB">
        <w:rPr>
          <w:b/>
        </w:rPr>
        <w:t>Baseline</w:t>
      </w:r>
      <w:r w:rsidR="002E3E05" w:rsidRPr="001957FB">
        <w:rPr>
          <w:b/>
        </w:rPr>
        <w:t xml:space="preserve"> Business Rates</w:t>
      </w:r>
      <w:r w:rsidR="003D09F7">
        <w:rPr>
          <w:b/>
        </w:rPr>
        <w:t xml:space="preserve"> (A)</w:t>
      </w:r>
      <w:r w:rsidRPr="001957FB">
        <w:rPr>
          <w:b/>
        </w:rPr>
        <w:t xml:space="preserve"> – </w:t>
      </w:r>
      <w:r w:rsidRPr="001957FB">
        <w:t xml:space="preserve">The </w:t>
      </w:r>
      <w:r w:rsidR="003D09F7">
        <w:t>G</w:t>
      </w:r>
      <w:r w:rsidRPr="001957FB">
        <w:t>overnment</w:t>
      </w:r>
      <w:r w:rsidR="002E3E05" w:rsidRPr="001957FB">
        <w:t>’</w:t>
      </w:r>
      <w:r w:rsidRPr="001957FB">
        <w:t xml:space="preserve">s view of a fair starting point of </w:t>
      </w:r>
      <w:r w:rsidR="004304AC">
        <w:t>B</w:t>
      </w:r>
      <w:r w:rsidRPr="001957FB">
        <w:t xml:space="preserve">usiness </w:t>
      </w:r>
      <w:r w:rsidR="004304AC">
        <w:t>R</w:t>
      </w:r>
      <w:r w:rsidRPr="001957FB">
        <w:t xml:space="preserve">ates income for the billing authority based on </w:t>
      </w:r>
      <w:r w:rsidR="004304AC">
        <w:t>F</w:t>
      </w:r>
      <w:r w:rsidRPr="001957FB">
        <w:t xml:space="preserve">ormula </w:t>
      </w:r>
      <w:r w:rsidR="004304AC">
        <w:t>G</w:t>
      </w:r>
      <w:r w:rsidRPr="001957FB">
        <w:t>rant distribution. Updated by RPI each year</w:t>
      </w:r>
      <w:r w:rsidR="00B8025B" w:rsidRPr="001957FB">
        <w:t>.</w:t>
      </w:r>
      <w:r w:rsidRPr="001957FB">
        <w:t xml:space="preserve"> </w:t>
      </w:r>
    </w:p>
    <w:p w14:paraId="488412B1" w14:textId="44C8CCC1" w:rsidR="00DE29ED" w:rsidRPr="001957FB" w:rsidRDefault="00DE29ED" w:rsidP="006C4C35">
      <w:pPr>
        <w:numPr>
          <w:ilvl w:val="0"/>
          <w:numId w:val="11"/>
        </w:numPr>
        <w:spacing w:after="120"/>
        <w:ind w:left="851" w:right="386"/>
        <w:jc w:val="both"/>
        <w:rPr>
          <w:b/>
        </w:rPr>
      </w:pPr>
      <w:r>
        <w:rPr>
          <w:b/>
        </w:rPr>
        <w:t xml:space="preserve">Section 31 Grant – (C) </w:t>
      </w:r>
      <w:r w:rsidRPr="00DE29ED">
        <w:rPr>
          <w:rFonts w:cs="Arial"/>
          <w:bCs/>
          <w:color w:val="545454"/>
        </w:rPr>
        <w:t>Section 31</w:t>
      </w:r>
      <w:r w:rsidRPr="00DE29ED">
        <w:rPr>
          <w:rFonts w:cs="Arial"/>
          <w:color w:val="545454"/>
        </w:rPr>
        <w:t xml:space="preserve"> of the Local Government Act 2003 allows ministers to pay </w:t>
      </w:r>
      <w:r w:rsidRPr="00DE29ED">
        <w:rPr>
          <w:rFonts w:cs="Arial"/>
          <w:bCs/>
          <w:color w:val="545454"/>
        </w:rPr>
        <w:t>grants</w:t>
      </w:r>
      <w:r w:rsidRPr="00DE29ED">
        <w:rPr>
          <w:rFonts w:cs="Arial"/>
          <w:color w:val="545454"/>
        </w:rPr>
        <w:t xml:space="preserve"> to any local authority in England or Wales for any expenditure</w:t>
      </w:r>
      <w:r>
        <w:rPr>
          <w:rFonts w:cs="Arial"/>
          <w:color w:val="545454"/>
        </w:rPr>
        <w:t xml:space="preserve">. In respect of business rates </w:t>
      </w:r>
      <w:r w:rsidR="0023679C">
        <w:rPr>
          <w:rFonts w:cs="Arial"/>
          <w:color w:val="545454"/>
        </w:rPr>
        <w:t>Section 31 grant has previously been paid in respect of the 2% cap on the multiplier and a number of reliefs for flooding, rural and retail property.</w:t>
      </w:r>
    </w:p>
    <w:p w14:paraId="0DCDDF21" w14:textId="01D32AE7" w:rsidR="00E75A6A" w:rsidRDefault="001005F5" w:rsidP="000A112B">
      <w:pPr>
        <w:pStyle w:val="ListParagraph"/>
        <w:numPr>
          <w:ilvl w:val="0"/>
          <w:numId w:val="38"/>
        </w:numPr>
        <w:spacing w:after="120"/>
        <w:ind w:right="386"/>
        <w:jc w:val="both"/>
      </w:pPr>
      <w:r w:rsidRPr="001957FB">
        <w:t>T</w:t>
      </w:r>
      <w:r w:rsidR="004B29D7" w:rsidRPr="001957FB">
        <w:t xml:space="preserve">he Medium Term Financial </w:t>
      </w:r>
      <w:r w:rsidR="000C0D51" w:rsidRPr="001957FB">
        <w:t xml:space="preserve">Strategy </w:t>
      </w:r>
      <w:r w:rsidR="004B29D7" w:rsidRPr="001957FB">
        <w:t xml:space="preserve">allows for an estimated increase in </w:t>
      </w:r>
      <w:r w:rsidR="009105B8" w:rsidRPr="001957FB">
        <w:t>Business Rates</w:t>
      </w:r>
      <w:r w:rsidR="004B29D7" w:rsidRPr="001957FB">
        <w:t xml:space="preserve"> due to </w:t>
      </w:r>
      <w:r w:rsidR="004304AC">
        <w:t xml:space="preserve">the </w:t>
      </w:r>
      <w:r w:rsidR="004B29D7" w:rsidRPr="001957FB">
        <w:t>Westgate</w:t>
      </w:r>
      <w:r w:rsidR="004304AC">
        <w:t xml:space="preserve"> shopping centre</w:t>
      </w:r>
      <w:r w:rsidR="004B29D7" w:rsidRPr="001957FB">
        <w:t xml:space="preserve"> re-opening in </w:t>
      </w:r>
      <w:r w:rsidR="00811A9B">
        <w:t>October</w:t>
      </w:r>
      <w:r w:rsidR="004B29D7" w:rsidRPr="001957FB">
        <w:t xml:space="preserve"> 2017. </w:t>
      </w:r>
      <w:r w:rsidR="005E0271" w:rsidRPr="001957FB">
        <w:t xml:space="preserve">Projected retained </w:t>
      </w:r>
      <w:r w:rsidR="00AA26C9" w:rsidRPr="001957FB">
        <w:t>Business Rates income</w:t>
      </w:r>
      <w:r w:rsidR="00633B35" w:rsidRPr="001957FB">
        <w:t xml:space="preserve"> is shown in </w:t>
      </w:r>
      <w:r w:rsidR="0002042E" w:rsidRPr="001957FB">
        <w:t>the T</w:t>
      </w:r>
      <w:r w:rsidR="007F7552" w:rsidRPr="001957FB">
        <w:t xml:space="preserve">able </w:t>
      </w:r>
      <w:r w:rsidR="00EE6A4D">
        <w:t>2</w:t>
      </w:r>
      <w:r w:rsidR="0002042E" w:rsidRPr="001957FB">
        <w:t xml:space="preserve"> </w:t>
      </w:r>
      <w:r w:rsidR="008F0D26" w:rsidRPr="001957FB">
        <w:t>below:</w:t>
      </w:r>
    </w:p>
    <w:p w14:paraId="3C661779" w14:textId="77777777" w:rsidR="00EC495D" w:rsidRDefault="00EC495D" w:rsidP="00EC495D">
      <w:pPr>
        <w:spacing w:after="120"/>
        <w:ind w:right="386"/>
        <w:jc w:val="both"/>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127"/>
        <w:gridCol w:w="2268"/>
      </w:tblGrid>
      <w:tr w:rsidR="008E66A7" w:rsidRPr="001957FB" w14:paraId="40F8E07F" w14:textId="77777777" w:rsidTr="008E66A7">
        <w:tc>
          <w:tcPr>
            <w:tcW w:w="8505" w:type="dxa"/>
            <w:gridSpan w:val="3"/>
            <w:shd w:val="clear" w:color="auto" w:fill="BFBFBF" w:themeFill="background1" w:themeFillShade="BF"/>
          </w:tcPr>
          <w:p w14:paraId="44CB2936" w14:textId="77777777" w:rsidR="008E66A7" w:rsidRPr="001957FB" w:rsidRDefault="008E66A7" w:rsidP="008E66A7">
            <w:pPr>
              <w:spacing w:after="120"/>
              <w:ind w:right="386"/>
              <w:rPr>
                <w:b/>
              </w:rPr>
            </w:pPr>
            <w:r>
              <w:rPr>
                <w:b/>
              </w:rPr>
              <w:t xml:space="preserve">Table 2 : </w:t>
            </w:r>
            <w:r w:rsidR="00C532F4">
              <w:rPr>
                <w:b/>
              </w:rPr>
              <w:t>Retained Business Rates</w:t>
            </w:r>
          </w:p>
        </w:tc>
      </w:tr>
      <w:tr w:rsidR="00A541EB" w:rsidRPr="001957FB" w14:paraId="431532AA" w14:textId="77777777" w:rsidTr="008E66A7">
        <w:tc>
          <w:tcPr>
            <w:tcW w:w="4110" w:type="dxa"/>
            <w:shd w:val="clear" w:color="auto" w:fill="BFBFBF" w:themeFill="background1" w:themeFillShade="BF"/>
          </w:tcPr>
          <w:p w14:paraId="26C946D9" w14:textId="77777777" w:rsidR="00A541EB" w:rsidRPr="001957FB" w:rsidRDefault="00A541EB" w:rsidP="0096590F">
            <w:pPr>
              <w:spacing w:after="120"/>
              <w:ind w:right="386"/>
              <w:jc w:val="both"/>
            </w:pPr>
          </w:p>
        </w:tc>
        <w:tc>
          <w:tcPr>
            <w:tcW w:w="2127" w:type="dxa"/>
            <w:shd w:val="clear" w:color="auto" w:fill="BFBFBF" w:themeFill="background1" w:themeFillShade="BF"/>
          </w:tcPr>
          <w:p w14:paraId="12AFBD17" w14:textId="77777777" w:rsidR="00A541EB" w:rsidRPr="001957FB" w:rsidRDefault="00A541EB" w:rsidP="00943E6D">
            <w:pPr>
              <w:spacing w:after="120"/>
              <w:ind w:right="386"/>
              <w:jc w:val="center"/>
              <w:rPr>
                <w:b/>
              </w:rPr>
            </w:pPr>
            <w:r w:rsidRPr="001957FB">
              <w:rPr>
                <w:b/>
              </w:rPr>
              <w:t>Total</w:t>
            </w:r>
          </w:p>
        </w:tc>
        <w:tc>
          <w:tcPr>
            <w:tcW w:w="2268" w:type="dxa"/>
            <w:shd w:val="clear" w:color="auto" w:fill="BFBFBF" w:themeFill="background1" w:themeFillShade="BF"/>
          </w:tcPr>
          <w:p w14:paraId="7AF5CF0D" w14:textId="77777777" w:rsidR="00A541EB" w:rsidRPr="001957FB" w:rsidRDefault="00A541EB" w:rsidP="00C16537">
            <w:pPr>
              <w:spacing w:after="120"/>
              <w:ind w:right="386"/>
              <w:jc w:val="center"/>
              <w:rPr>
                <w:b/>
              </w:rPr>
            </w:pPr>
            <w:r w:rsidRPr="001957FB">
              <w:rPr>
                <w:b/>
              </w:rPr>
              <w:t>Variation</w:t>
            </w:r>
          </w:p>
        </w:tc>
      </w:tr>
      <w:tr w:rsidR="00A541EB" w:rsidRPr="001957FB" w14:paraId="3D15F51E" w14:textId="77777777" w:rsidTr="008E66A7">
        <w:tc>
          <w:tcPr>
            <w:tcW w:w="4110" w:type="dxa"/>
            <w:shd w:val="clear" w:color="auto" w:fill="BFBFBF" w:themeFill="background1" w:themeFillShade="BF"/>
          </w:tcPr>
          <w:p w14:paraId="1F4570DD" w14:textId="77777777" w:rsidR="00A541EB" w:rsidRPr="001957FB" w:rsidRDefault="00A541EB" w:rsidP="0096590F">
            <w:pPr>
              <w:spacing w:after="120"/>
              <w:ind w:right="386"/>
              <w:jc w:val="both"/>
            </w:pPr>
          </w:p>
        </w:tc>
        <w:tc>
          <w:tcPr>
            <w:tcW w:w="2127" w:type="dxa"/>
            <w:shd w:val="clear" w:color="auto" w:fill="BFBFBF" w:themeFill="background1" w:themeFillShade="BF"/>
          </w:tcPr>
          <w:p w14:paraId="46077E3D" w14:textId="77777777" w:rsidR="00A541EB" w:rsidRPr="001957FB" w:rsidRDefault="00A541EB" w:rsidP="00943E6D">
            <w:pPr>
              <w:spacing w:after="120"/>
              <w:ind w:right="386"/>
              <w:jc w:val="center"/>
              <w:rPr>
                <w:b/>
              </w:rPr>
            </w:pPr>
            <w:r w:rsidRPr="001957FB">
              <w:rPr>
                <w:b/>
              </w:rPr>
              <w:t>£million</w:t>
            </w:r>
          </w:p>
        </w:tc>
        <w:tc>
          <w:tcPr>
            <w:tcW w:w="2268" w:type="dxa"/>
            <w:shd w:val="clear" w:color="auto" w:fill="BFBFBF" w:themeFill="background1" w:themeFillShade="BF"/>
          </w:tcPr>
          <w:p w14:paraId="2882CD97" w14:textId="77777777" w:rsidR="00A541EB" w:rsidRPr="001957FB" w:rsidRDefault="00A541EB" w:rsidP="0096590F">
            <w:pPr>
              <w:spacing w:after="120"/>
              <w:ind w:right="386"/>
              <w:jc w:val="center"/>
              <w:rPr>
                <w:b/>
              </w:rPr>
            </w:pPr>
            <w:r w:rsidRPr="001957FB">
              <w:rPr>
                <w:b/>
              </w:rPr>
              <w:t>%</w:t>
            </w:r>
          </w:p>
        </w:tc>
      </w:tr>
      <w:tr w:rsidR="00A541EB" w:rsidRPr="001957FB" w14:paraId="517CDD1A" w14:textId="77777777" w:rsidTr="008E66A7">
        <w:tc>
          <w:tcPr>
            <w:tcW w:w="4110" w:type="dxa"/>
          </w:tcPr>
          <w:p w14:paraId="0E6962E2" w14:textId="77777777" w:rsidR="00A541EB" w:rsidRPr="001957FB" w:rsidRDefault="00A541EB" w:rsidP="0096590F">
            <w:pPr>
              <w:spacing w:after="120"/>
              <w:ind w:right="386"/>
              <w:jc w:val="both"/>
            </w:pPr>
            <w:r w:rsidRPr="001957FB">
              <w:t>2017/18***</w:t>
            </w:r>
          </w:p>
        </w:tc>
        <w:tc>
          <w:tcPr>
            <w:tcW w:w="2127" w:type="dxa"/>
          </w:tcPr>
          <w:p w14:paraId="7C03298D" w14:textId="77777777" w:rsidR="00A541EB" w:rsidRPr="001957FB" w:rsidRDefault="00A541EB" w:rsidP="00B90A58">
            <w:pPr>
              <w:spacing w:after="120"/>
              <w:jc w:val="right"/>
            </w:pPr>
            <w:r w:rsidRPr="001957FB">
              <w:t>6.817</w:t>
            </w:r>
          </w:p>
        </w:tc>
        <w:tc>
          <w:tcPr>
            <w:tcW w:w="2268" w:type="dxa"/>
          </w:tcPr>
          <w:p w14:paraId="205E01EE" w14:textId="77777777" w:rsidR="00A541EB" w:rsidRPr="001957FB" w:rsidRDefault="00371E47" w:rsidP="00B90A58">
            <w:pPr>
              <w:spacing w:after="120"/>
              <w:jc w:val="right"/>
            </w:pPr>
            <w:r>
              <w:t>6.3</w:t>
            </w:r>
          </w:p>
        </w:tc>
      </w:tr>
      <w:tr w:rsidR="00A541EB" w:rsidRPr="001957FB" w14:paraId="7ADF1CE5" w14:textId="77777777" w:rsidTr="008E66A7">
        <w:tc>
          <w:tcPr>
            <w:tcW w:w="4110" w:type="dxa"/>
          </w:tcPr>
          <w:p w14:paraId="3E3B1FE3" w14:textId="77777777" w:rsidR="00A541EB" w:rsidRPr="001957FB" w:rsidRDefault="00A541EB" w:rsidP="0096590F">
            <w:pPr>
              <w:spacing w:after="120"/>
              <w:ind w:right="386"/>
              <w:jc w:val="both"/>
            </w:pPr>
            <w:r w:rsidRPr="001957FB">
              <w:t>2018/19</w:t>
            </w:r>
          </w:p>
        </w:tc>
        <w:tc>
          <w:tcPr>
            <w:tcW w:w="2127" w:type="dxa"/>
          </w:tcPr>
          <w:p w14:paraId="7D432173" w14:textId="77777777" w:rsidR="00A541EB" w:rsidRPr="001957FB" w:rsidRDefault="00A541EB" w:rsidP="00A541EB">
            <w:pPr>
              <w:spacing w:after="120"/>
              <w:jc w:val="right"/>
            </w:pPr>
            <w:r w:rsidRPr="001957FB">
              <w:t>8.169</w:t>
            </w:r>
          </w:p>
        </w:tc>
        <w:tc>
          <w:tcPr>
            <w:tcW w:w="2268" w:type="dxa"/>
          </w:tcPr>
          <w:p w14:paraId="13673EC1" w14:textId="77777777" w:rsidR="00A541EB" w:rsidRPr="001957FB" w:rsidRDefault="00A541EB" w:rsidP="00371E47">
            <w:pPr>
              <w:spacing w:after="120"/>
              <w:jc w:val="right"/>
            </w:pPr>
            <w:r w:rsidRPr="001957FB">
              <w:t>19.8</w:t>
            </w:r>
          </w:p>
        </w:tc>
      </w:tr>
      <w:tr w:rsidR="00A541EB" w:rsidRPr="001957FB" w14:paraId="3AACFCF4" w14:textId="77777777" w:rsidTr="008E66A7">
        <w:tc>
          <w:tcPr>
            <w:tcW w:w="4110" w:type="dxa"/>
          </w:tcPr>
          <w:p w14:paraId="5C647287" w14:textId="77777777" w:rsidR="00A541EB" w:rsidRPr="001957FB" w:rsidRDefault="00A541EB" w:rsidP="0096590F">
            <w:pPr>
              <w:spacing w:after="120"/>
              <w:ind w:right="386"/>
              <w:jc w:val="both"/>
            </w:pPr>
            <w:r w:rsidRPr="001957FB">
              <w:t>2019/20</w:t>
            </w:r>
          </w:p>
        </w:tc>
        <w:tc>
          <w:tcPr>
            <w:tcW w:w="2127" w:type="dxa"/>
          </w:tcPr>
          <w:p w14:paraId="148A9045" w14:textId="77777777" w:rsidR="00A541EB" w:rsidRPr="001957FB" w:rsidRDefault="00371E47" w:rsidP="00943E6D">
            <w:pPr>
              <w:spacing w:after="120"/>
              <w:jc w:val="right"/>
            </w:pPr>
            <w:r>
              <w:t>8.187</w:t>
            </w:r>
          </w:p>
        </w:tc>
        <w:tc>
          <w:tcPr>
            <w:tcW w:w="2268" w:type="dxa"/>
          </w:tcPr>
          <w:p w14:paraId="22CD57C6" w14:textId="77777777" w:rsidR="00A541EB" w:rsidRPr="001957FB" w:rsidRDefault="00371E47" w:rsidP="00063037">
            <w:pPr>
              <w:spacing w:after="120"/>
              <w:jc w:val="right"/>
            </w:pPr>
            <w:r>
              <w:t>0.2</w:t>
            </w:r>
          </w:p>
        </w:tc>
      </w:tr>
      <w:tr w:rsidR="00A541EB" w:rsidRPr="001957FB" w14:paraId="42A93026" w14:textId="77777777" w:rsidTr="008E66A7">
        <w:tc>
          <w:tcPr>
            <w:tcW w:w="4110" w:type="dxa"/>
          </w:tcPr>
          <w:p w14:paraId="1970F50F" w14:textId="77777777" w:rsidR="00A541EB" w:rsidRPr="001957FB" w:rsidRDefault="00A541EB" w:rsidP="0096590F">
            <w:pPr>
              <w:spacing w:after="120"/>
              <w:ind w:right="386"/>
              <w:jc w:val="both"/>
            </w:pPr>
            <w:r w:rsidRPr="001957FB">
              <w:t>2020/21</w:t>
            </w:r>
          </w:p>
        </w:tc>
        <w:tc>
          <w:tcPr>
            <w:tcW w:w="2127" w:type="dxa"/>
          </w:tcPr>
          <w:p w14:paraId="1D7600D1" w14:textId="77777777" w:rsidR="00A541EB" w:rsidRPr="001957FB" w:rsidRDefault="00371E47" w:rsidP="00943E6D">
            <w:pPr>
              <w:spacing w:after="120"/>
              <w:jc w:val="right"/>
            </w:pPr>
            <w:r>
              <w:t>8.193</w:t>
            </w:r>
          </w:p>
        </w:tc>
        <w:tc>
          <w:tcPr>
            <w:tcW w:w="2268" w:type="dxa"/>
          </w:tcPr>
          <w:p w14:paraId="530A0686" w14:textId="77777777" w:rsidR="00A541EB" w:rsidRPr="001957FB" w:rsidRDefault="00371E47" w:rsidP="00811A9B">
            <w:pPr>
              <w:spacing w:after="120"/>
              <w:jc w:val="right"/>
            </w:pPr>
            <w:r>
              <w:t>0</w:t>
            </w:r>
            <w:r w:rsidR="00A541EB" w:rsidRPr="001957FB">
              <w:t>.</w:t>
            </w:r>
            <w:r w:rsidR="00811A9B">
              <w:t>1</w:t>
            </w:r>
          </w:p>
        </w:tc>
      </w:tr>
      <w:tr w:rsidR="00A541EB" w:rsidRPr="001957FB" w14:paraId="2A9D64D4" w14:textId="77777777" w:rsidTr="008E66A7">
        <w:tc>
          <w:tcPr>
            <w:tcW w:w="4110" w:type="dxa"/>
          </w:tcPr>
          <w:p w14:paraId="6FA90A1A" w14:textId="77777777" w:rsidR="00A541EB" w:rsidRPr="001957FB" w:rsidRDefault="00A541EB" w:rsidP="0096590F">
            <w:pPr>
              <w:spacing w:after="120"/>
              <w:ind w:right="386"/>
              <w:jc w:val="both"/>
            </w:pPr>
            <w:r w:rsidRPr="001957FB">
              <w:t>2021/22</w:t>
            </w:r>
          </w:p>
        </w:tc>
        <w:tc>
          <w:tcPr>
            <w:tcW w:w="2127" w:type="dxa"/>
          </w:tcPr>
          <w:p w14:paraId="42F581A7" w14:textId="77777777" w:rsidR="00371E47" w:rsidRPr="001957FB" w:rsidRDefault="00A541EB" w:rsidP="00371E47">
            <w:pPr>
              <w:spacing w:after="120"/>
              <w:jc w:val="right"/>
            </w:pPr>
            <w:r w:rsidRPr="001957FB">
              <w:t>8.</w:t>
            </w:r>
            <w:r w:rsidR="00371E47">
              <w:t>498</w:t>
            </w:r>
          </w:p>
        </w:tc>
        <w:tc>
          <w:tcPr>
            <w:tcW w:w="2268" w:type="dxa"/>
          </w:tcPr>
          <w:p w14:paraId="5F7BC765" w14:textId="77777777" w:rsidR="00A541EB" w:rsidRPr="001957FB" w:rsidRDefault="00371E47" w:rsidP="005E4245">
            <w:pPr>
              <w:spacing w:after="120"/>
              <w:jc w:val="right"/>
            </w:pPr>
            <w:r>
              <w:t>3.7</w:t>
            </w:r>
          </w:p>
        </w:tc>
      </w:tr>
    </w:tbl>
    <w:p w14:paraId="7331EB82" w14:textId="77777777" w:rsidR="007F7552" w:rsidRPr="001957FB" w:rsidRDefault="007F7552" w:rsidP="00C93B3F">
      <w:pPr>
        <w:spacing w:after="120"/>
        <w:ind w:left="1440" w:right="386" w:hanging="720"/>
        <w:jc w:val="both"/>
      </w:pPr>
    </w:p>
    <w:p w14:paraId="5D24D9E7" w14:textId="77777777" w:rsidR="00F53223" w:rsidRPr="001957FB" w:rsidRDefault="00F53223" w:rsidP="00942056">
      <w:pPr>
        <w:spacing w:after="120"/>
        <w:ind w:left="567" w:right="386"/>
        <w:jc w:val="both"/>
      </w:pPr>
      <w:r w:rsidRPr="001957FB">
        <w:t xml:space="preserve">*** Westgate </w:t>
      </w:r>
      <w:r w:rsidR="004A7165" w:rsidRPr="001957FB">
        <w:t xml:space="preserve">development </w:t>
      </w:r>
      <w:r w:rsidRPr="001957FB">
        <w:t>completed</w:t>
      </w:r>
    </w:p>
    <w:p w14:paraId="69C86089" w14:textId="77777777" w:rsidR="002951A8" w:rsidRPr="001957FB" w:rsidRDefault="002F59E6" w:rsidP="002951A8">
      <w:pPr>
        <w:spacing w:after="120"/>
        <w:ind w:left="567" w:right="386" w:hanging="567"/>
        <w:jc w:val="both"/>
      </w:pPr>
      <w:r>
        <w:t>19</w:t>
      </w:r>
      <w:r w:rsidR="002951A8" w:rsidRPr="001957FB">
        <w:tab/>
        <w:t>The Council benefits from the opening of the Westgate shopping centre with effect from October 2017. However</w:t>
      </w:r>
      <w:r w:rsidR="004304AC">
        <w:t>,</w:t>
      </w:r>
      <w:r w:rsidR="002951A8" w:rsidRPr="001957FB">
        <w:t xml:space="preserve"> the Valuation Office has yet to value the building and the Council is unable to invoice for the rates</w:t>
      </w:r>
      <w:r w:rsidR="004304AC">
        <w:t xml:space="preserve"> due</w:t>
      </w:r>
      <w:r w:rsidR="002951A8" w:rsidRPr="001957FB">
        <w:t xml:space="preserve"> until this work is complete. For business planning purposes this presents a real risk to the Council should the rates vary significantly to those estimated by the Council, which have been based on similar sized shopping centres.</w:t>
      </w:r>
      <w:r w:rsidR="00FB2B58">
        <w:t xml:space="preserve">  Vigorous representations are being made to the Valuation Office on this point.</w:t>
      </w:r>
    </w:p>
    <w:p w14:paraId="472C5E02" w14:textId="2A779AD1" w:rsidR="00644CAE" w:rsidRPr="008D6AFC" w:rsidRDefault="00644CAE" w:rsidP="008D6AFC">
      <w:pPr>
        <w:spacing w:before="240" w:after="120"/>
        <w:outlineLvl w:val="0"/>
        <w:rPr>
          <w:b/>
          <w:color w:val="000000"/>
          <w:lang w:eastAsia="en-GB"/>
        </w:rPr>
      </w:pPr>
      <w:r w:rsidRPr="008D6AFC">
        <w:rPr>
          <w:b/>
          <w:color w:val="000000"/>
          <w:lang w:eastAsia="en-GB"/>
        </w:rPr>
        <w:t>Fair Funding Review and 100% Retained Business Rates</w:t>
      </w:r>
    </w:p>
    <w:p w14:paraId="0C1F3E55" w14:textId="77777777" w:rsidR="004A7165" w:rsidRPr="001957FB" w:rsidRDefault="002F59E6" w:rsidP="00C53442">
      <w:pPr>
        <w:spacing w:after="120"/>
        <w:ind w:left="567" w:right="386" w:hanging="567"/>
        <w:jc w:val="both"/>
      </w:pPr>
      <w:r>
        <w:t>20</w:t>
      </w:r>
      <w:r w:rsidR="00644CAE" w:rsidRPr="001957FB">
        <w:tab/>
        <w:t>The Government is still committed to a fairer funding review alongside the 100% Business Rates retention system which will be introduced with effect from 1/4/2019</w:t>
      </w:r>
      <w:r w:rsidR="001957FB" w:rsidRPr="001957FB">
        <w:t xml:space="preserve"> as announced in October 2015</w:t>
      </w:r>
      <w:r w:rsidR="00644CAE" w:rsidRPr="001957FB">
        <w:t>. Under the retained business rates system the Council will be able to retain 100% of all business rates above the baseline, instead of paying 50% to the Government. It is thought there will new burdens passed to local authorities in exchange for this change.</w:t>
      </w:r>
    </w:p>
    <w:p w14:paraId="25A700EC" w14:textId="77777777" w:rsidR="00644CAE" w:rsidRPr="001957FB" w:rsidRDefault="002F59E6" w:rsidP="002951A8">
      <w:pPr>
        <w:spacing w:after="120"/>
        <w:ind w:left="567" w:right="386" w:hanging="567"/>
        <w:jc w:val="both"/>
      </w:pPr>
      <w:r>
        <w:t>21</w:t>
      </w:r>
      <w:r w:rsidR="00644CAE" w:rsidRPr="001957FB">
        <w:tab/>
        <w:t xml:space="preserve">Although there is little information available it is understood that the ‘fairer funding’ review will seek </w:t>
      </w:r>
      <w:r w:rsidR="006D6BBB" w:rsidRPr="001957FB">
        <w:t>to:</w:t>
      </w:r>
    </w:p>
    <w:p w14:paraId="12DB2080" w14:textId="77777777" w:rsidR="00644CAE" w:rsidRPr="001957FB" w:rsidRDefault="00644CAE" w:rsidP="00C53442">
      <w:pPr>
        <w:pStyle w:val="Default"/>
        <w:numPr>
          <w:ilvl w:val="0"/>
          <w:numId w:val="23"/>
        </w:numPr>
        <w:spacing w:after="120"/>
        <w:ind w:left="907" w:hanging="567"/>
      </w:pPr>
      <w:r w:rsidRPr="001957FB">
        <w:rPr>
          <w:bCs/>
        </w:rPr>
        <w:t xml:space="preserve">set new baseline funding allocations </w:t>
      </w:r>
      <w:r w:rsidRPr="001957FB">
        <w:t xml:space="preserve">for local authorities, </w:t>
      </w:r>
    </w:p>
    <w:p w14:paraId="7B7A7BE7" w14:textId="77777777" w:rsidR="00644CAE" w:rsidRPr="009349A0" w:rsidRDefault="00644CAE" w:rsidP="00C53442">
      <w:pPr>
        <w:pStyle w:val="Caption"/>
        <w:numPr>
          <w:ilvl w:val="0"/>
          <w:numId w:val="23"/>
        </w:numPr>
        <w:spacing w:before="0"/>
        <w:ind w:left="907" w:hanging="567"/>
        <w:rPr>
          <w:b w:val="0"/>
          <w:sz w:val="24"/>
          <w:szCs w:val="24"/>
        </w:rPr>
      </w:pPr>
      <w:r w:rsidRPr="009349A0">
        <w:rPr>
          <w:b w:val="0"/>
          <w:sz w:val="24"/>
          <w:szCs w:val="24"/>
        </w:rPr>
        <w:t xml:space="preserve">deliver an up-to-date assessment of the relative needs of local authorities, </w:t>
      </w:r>
    </w:p>
    <w:p w14:paraId="24F04FF8" w14:textId="77777777" w:rsidR="00644CAE" w:rsidRPr="009349A0" w:rsidRDefault="00644CAE" w:rsidP="00C53442">
      <w:pPr>
        <w:pStyle w:val="Caption"/>
        <w:numPr>
          <w:ilvl w:val="0"/>
          <w:numId w:val="23"/>
        </w:numPr>
        <w:spacing w:before="0"/>
        <w:ind w:left="907" w:hanging="567"/>
        <w:rPr>
          <w:b w:val="0"/>
          <w:sz w:val="24"/>
          <w:szCs w:val="24"/>
        </w:rPr>
      </w:pPr>
      <w:r w:rsidRPr="009349A0">
        <w:rPr>
          <w:b w:val="0"/>
          <w:sz w:val="24"/>
          <w:szCs w:val="24"/>
        </w:rPr>
        <w:t xml:space="preserve">examine the relative resources of local authorities, </w:t>
      </w:r>
    </w:p>
    <w:p w14:paraId="3238AB18" w14:textId="77777777" w:rsidR="00644CAE" w:rsidRDefault="00644CAE" w:rsidP="00C53442">
      <w:pPr>
        <w:pStyle w:val="Caption"/>
        <w:numPr>
          <w:ilvl w:val="0"/>
          <w:numId w:val="23"/>
        </w:numPr>
        <w:spacing w:before="0"/>
        <w:ind w:left="907" w:hanging="567"/>
        <w:rPr>
          <w:b w:val="0"/>
          <w:sz w:val="24"/>
          <w:szCs w:val="24"/>
        </w:rPr>
      </w:pPr>
      <w:r w:rsidRPr="009349A0">
        <w:rPr>
          <w:b w:val="0"/>
          <w:sz w:val="24"/>
          <w:szCs w:val="24"/>
        </w:rPr>
        <w:t>focus initially on the services currently funded through the local government finance settlement</w:t>
      </w:r>
    </w:p>
    <w:p w14:paraId="430894EE" w14:textId="77777777" w:rsidR="0023679C" w:rsidRPr="00EE6A4D" w:rsidRDefault="0023679C" w:rsidP="0023679C">
      <w:pPr>
        <w:pStyle w:val="ListParagraph"/>
        <w:numPr>
          <w:ilvl w:val="0"/>
          <w:numId w:val="23"/>
        </w:numPr>
        <w:ind w:left="851" w:hanging="425"/>
      </w:pPr>
      <w:r>
        <w:t>redistribute business rates income between upper and lower tier authorities</w:t>
      </w:r>
      <w:r w:rsidR="00FB2B58">
        <w:t>,</w:t>
      </w:r>
      <w:r>
        <w:t xml:space="preserve"> possibly to the detriment of the City Council </w:t>
      </w:r>
    </w:p>
    <w:p w14:paraId="1217063C" w14:textId="77777777" w:rsidR="00EE6A4D" w:rsidRDefault="00EE6A4D" w:rsidP="00EE6A4D"/>
    <w:p w14:paraId="1856E485" w14:textId="3DF9928A" w:rsidR="001957FB" w:rsidRPr="008D6AFC" w:rsidRDefault="001957FB" w:rsidP="008D6AFC">
      <w:pPr>
        <w:spacing w:before="240" w:after="120"/>
        <w:outlineLvl w:val="0"/>
        <w:rPr>
          <w:b/>
          <w:color w:val="000000"/>
          <w:lang w:eastAsia="en-GB"/>
        </w:rPr>
      </w:pPr>
      <w:r w:rsidRPr="008D6AFC">
        <w:rPr>
          <w:b/>
          <w:color w:val="000000"/>
          <w:lang w:eastAsia="en-GB"/>
        </w:rPr>
        <w:t>100% Retained Business Rates Pilot</w:t>
      </w:r>
    </w:p>
    <w:p w14:paraId="5889890C" w14:textId="77777777" w:rsidR="001957FB" w:rsidRPr="009349A0" w:rsidRDefault="002F59E6" w:rsidP="00F254C7">
      <w:pPr>
        <w:spacing w:after="120"/>
        <w:ind w:left="720" w:right="386" w:hanging="720"/>
        <w:jc w:val="both"/>
      </w:pPr>
      <w:r>
        <w:t>22</w:t>
      </w:r>
      <w:r w:rsidR="00F254C7">
        <w:tab/>
      </w:r>
      <w:r w:rsidR="001957FB" w:rsidRPr="009349A0">
        <w:t xml:space="preserve">The Government recently invited all local authorities to bid for inclusion in </w:t>
      </w:r>
      <w:proofErr w:type="gramStart"/>
      <w:r w:rsidR="00EA7BFB" w:rsidRPr="009349A0">
        <w:t xml:space="preserve">the  </w:t>
      </w:r>
      <w:r w:rsidR="001957FB" w:rsidRPr="009349A0">
        <w:t>100</w:t>
      </w:r>
      <w:proofErr w:type="gramEnd"/>
      <w:r w:rsidR="001957FB" w:rsidRPr="009349A0">
        <w:t>% retained business rates pilot</w:t>
      </w:r>
      <w:r w:rsidR="00EA7BFB" w:rsidRPr="009349A0">
        <w:t xml:space="preserve"> which has been in operation since 1/4/2017. </w:t>
      </w:r>
      <w:r w:rsidR="007C1D05" w:rsidRPr="009349A0">
        <w:t>Oxfordshire’s</w:t>
      </w:r>
      <w:r w:rsidR="001957FB" w:rsidRPr="009349A0">
        <w:t xml:space="preserve"> six authorities have worked together to submit a bid.</w:t>
      </w:r>
      <w:r w:rsidR="00EA7BFB" w:rsidRPr="009349A0">
        <w:t xml:space="preserve"> This new wave of pilots will run alongside the existing 5 pilots. Pilots will retain all of their growth in </w:t>
      </w:r>
      <w:r w:rsidR="004304AC">
        <w:t>B</w:t>
      </w:r>
      <w:r w:rsidR="00EA7BFB" w:rsidRPr="009349A0">
        <w:t xml:space="preserve">usiness </w:t>
      </w:r>
      <w:r w:rsidR="004304AC">
        <w:t>R</w:t>
      </w:r>
      <w:r w:rsidR="00EA7BFB" w:rsidRPr="009349A0">
        <w:t>ates income. The pilots offer the Government an opportunity to evaluate the more technical aspects of 100% retention. The Government are encouraging authorities to operate as a business rates pool with the additional growth being used to promote the ‘</w:t>
      </w:r>
      <w:r w:rsidR="007C1D05" w:rsidRPr="009349A0">
        <w:t>financial</w:t>
      </w:r>
      <w:r w:rsidR="00EA7BFB" w:rsidRPr="009349A0">
        <w:t xml:space="preserve"> stability and sustainability of the pooled area’</w:t>
      </w:r>
      <w:r w:rsidR="0023679C">
        <w:t xml:space="preserve"> with increased spend on infrastructure.</w:t>
      </w:r>
    </w:p>
    <w:p w14:paraId="2F5B7D2F" w14:textId="77777777" w:rsidR="00EA7BFB" w:rsidRPr="009349A0" w:rsidRDefault="002F59E6" w:rsidP="00EA7BFB">
      <w:pPr>
        <w:spacing w:after="120"/>
        <w:ind w:left="720" w:right="386" w:hanging="720"/>
        <w:jc w:val="both"/>
      </w:pPr>
      <w:r>
        <w:t>23</w:t>
      </w:r>
      <w:r w:rsidR="00EA7BFB" w:rsidRPr="009349A0">
        <w:tab/>
        <w:t xml:space="preserve">In forming the bid the Oxfordshire authorities unanimously agreed </w:t>
      </w:r>
      <w:r w:rsidR="007C1D05" w:rsidRPr="009349A0">
        <w:t>that:</w:t>
      </w:r>
    </w:p>
    <w:p w14:paraId="63DE3629" w14:textId="77777777" w:rsidR="00EA7BFB" w:rsidRPr="009349A0" w:rsidRDefault="00EA7BFB" w:rsidP="006C4C35">
      <w:pPr>
        <w:pStyle w:val="ListParagraph"/>
        <w:numPr>
          <w:ilvl w:val="0"/>
          <w:numId w:val="24"/>
        </w:numPr>
        <w:spacing w:after="120"/>
        <w:ind w:right="386"/>
        <w:jc w:val="both"/>
      </w:pPr>
      <w:r w:rsidRPr="009349A0">
        <w:t xml:space="preserve">the biggest pressures in terms of financial sustainability rest with the County Council largely caused by Social Care, both adults and children; </w:t>
      </w:r>
    </w:p>
    <w:p w14:paraId="5ED0A4AD" w14:textId="77777777" w:rsidR="00EA7BFB" w:rsidRPr="009349A0" w:rsidRDefault="00EA7BFB" w:rsidP="00EA7BFB">
      <w:pPr>
        <w:pStyle w:val="Default"/>
        <w:ind w:left="1434" w:hanging="300"/>
      </w:pPr>
      <w:r w:rsidRPr="009349A0">
        <w:t xml:space="preserve">• </w:t>
      </w:r>
      <w:r w:rsidRPr="009349A0">
        <w:tab/>
        <w:t xml:space="preserve">That the best way to </w:t>
      </w:r>
      <w:proofErr w:type="spellStart"/>
      <w:r w:rsidRPr="009349A0">
        <w:t>maximise</w:t>
      </w:r>
      <w:proofErr w:type="spellEnd"/>
      <w:r w:rsidRPr="009349A0">
        <w:t xml:space="preserve"> the additional funding is </w:t>
      </w:r>
      <w:r w:rsidR="004304AC">
        <w:t xml:space="preserve">to </w:t>
      </w:r>
      <w:r w:rsidRPr="009349A0">
        <w:t xml:space="preserve">collaborate and fund schemes that have mutual benefits. </w:t>
      </w:r>
    </w:p>
    <w:p w14:paraId="054A5C44" w14:textId="77777777" w:rsidR="00EA7BFB" w:rsidRPr="009349A0" w:rsidRDefault="00EA7BFB" w:rsidP="00EA7BFB">
      <w:pPr>
        <w:spacing w:after="120"/>
        <w:ind w:right="386"/>
        <w:jc w:val="both"/>
        <w:rPr>
          <w:highlight w:val="yellow"/>
        </w:rPr>
      </w:pPr>
    </w:p>
    <w:p w14:paraId="10C240E6" w14:textId="77777777" w:rsidR="00EA7BFB" w:rsidRPr="009349A0" w:rsidRDefault="002F59E6" w:rsidP="00844083">
      <w:pPr>
        <w:pStyle w:val="Default"/>
        <w:ind w:left="720" w:hanging="720"/>
      </w:pPr>
      <w:r>
        <w:t>24</w:t>
      </w:r>
      <w:r w:rsidR="00844083">
        <w:tab/>
      </w:r>
      <w:r w:rsidR="00EA7BFB" w:rsidRPr="009349A0">
        <w:t xml:space="preserve">The additional benefit from </w:t>
      </w:r>
      <w:proofErr w:type="spellStart"/>
      <w:r w:rsidR="00EA7BFB" w:rsidRPr="009349A0">
        <w:t>the</w:t>
      </w:r>
      <w:r w:rsidR="004304AC">
        <w:t>Oxfordshire</w:t>
      </w:r>
      <w:proofErr w:type="spellEnd"/>
      <w:r w:rsidR="00EA7BFB" w:rsidRPr="009349A0">
        <w:t xml:space="preserve"> pilot </w:t>
      </w:r>
      <w:r w:rsidR="004304AC">
        <w:t xml:space="preserve">is </w:t>
      </w:r>
      <w:r w:rsidR="00EA7BFB" w:rsidRPr="009349A0">
        <w:t xml:space="preserve">estimated to be </w:t>
      </w:r>
      <w:r w:rsidR="009349A0" w:rsidRPr="009349A0">
        <w:t>approximately</w:t>
      </w:r>
      <w:r w:rsidR="00EA7BFB" w:rsidRPr="009349A0">
        <w:t xml:space="preserve"> £</w:t>
      </w:r>
      <w:r w:rsidR="009349A0" w:rsidRPr="009349A0">
        <w:t>20 million</w:t>
      </w:r>
      <w:r w:rsidR="004304AC">
        <w:t>.  It has been agreed this will</w:t>
      </w:r>
      <w:r w:rsidR="00EA7BFB" w:rsidRPr="00F254C7">
        <w:rPr>
          <w:bCs/>
        </w:rPr>
        <w:t xml:space="preserve"> </w:t>
      </w:r>
      <w:r w:rsidR="00EA7BFB" w:rsidRPr="009349A0">
        <w:t xml:space="preserve">be pooled and used to fund the following: </w:t>
      </w:r>
    </w:p>
    <w:p w14:paraId="074060C5" w14:textId="77777777" w:rsidR="00EA7BFB" w:rsidRPr="009349A0" w:rsidRDefault="00EA7BFB" w:rsidP="009349A0">
      <w:pPr>
        <w:pStyle w:val="Default"/>
        <w:ind w:left="1440"/>
      </w:pPr>
      <w:r w:rsidRPr="009349A0">
        <w:t>•</w:t>
      </w:r>
      <w:r w:rsidR="009349A0" w:rsidRPr="009349A0">
        <w:t xml:space="preserve"> </w:t>
      </w:r>
      <w:r w:rsidRPr="009349A0">
        <w:rPr>
          <w:b/>
          <w:bCs/>
        </w:rPr>
        <w:t xml:space="preserve">70% Economic Growth – </w:t>
      </w:r>
      <w:r w:rsidRPr="009349A0">
        <w:t xml:space="preserve">to be linked to the Place Based Growth Package deal, which may include funding the costs of developing the joint spatial plan for the whole of Oxfordshire. </w:t>
      </w:r>
    </w:p>
    <w:p w14:paraId="4BCD154C" w14:textId="77777777" w:rsidR="00EA7BFB" w:rsidRPr="009349A0" w:rsidRDefault="00EA7BFB" w:rsidP="00EA7BFB">
      <w:pPr>
        <w:pStyle w:val="Default"/>
      </w:pPr>
    </w:p>
    <w:p w14:paraId="15B6D323" w14:textId="77777777" w:rsidR="00EA7BFB" w:rsidRPr="009349A0" w:rsidRDefault="00EA7BFB" w:rsidP="009349A0">
      <w:pPr>
        <w:pStyle w:val="Default"/>
        <w:ind w:left="1440"/>
      </w:pPr>
      <w:r w:rsidRPr="009349A0">
        <w:t xml:space="preserve">• </w:t>
      </w:r>
      <w:r w:rsidRPr="009349A0">
        <w:rPr>
          <w:b/>
          <w:bCs/>
        </w:rPr>
        <w:t xml:space="preserve">30% Sustainable Finances </w:t>
      </w:r>
      <w:r w:rsidRPr="009349A0">
        <w:t xml:space="preserve">– applying the funds to commonly agreed projects and shared priorities agreed through the Growth Board. </w:t>
      </w:r>
    </w:p>
    <w:p w14:paraId="21CEA6FB" w14:textId="77777777" w:rsidR="009349A0" w:rsidRPr="009349A0" w:rsidRDefault="009349A0" w:rsidP="00EA7BFB">
      <w:pPr>
        <w:spacing w:after="120"/>
        <w:ind w:right="386"/>
        <w:jc w:val="both"/>
      </w:pPr>
      <w:r w:rsidRPr="009349A0">
        <w:tab/>
      </w:r>
    </w:p>
    <w:p w14:paraId="6B4F1D3A" w14:textId="5482EE37" w:rsidR="00EA7BFB" w:rsidRPr="00CE0C1F" w:rsidRDefault="002F59E6" w:rsidP="008D6AFC">
      <w:pPr>
        <w:pStyle w:val="ReportNumbering"/>
        <w:numPr>
          <w:ilvl w:val="0"/>
          <w:numId w:val="0"/>
        </w:numPr>
        <w:ind w:left="567" w:hanging="567"/>
      </w:pPr>
      <w:r>
        <w:t>25</w:t>
      </w:r>
      <w:r w:rsidR="00844083">
        <w:tab/>
      </w:r>
      <w:r w:rsidR="00A928FC" w:rsidRPr="00EE6A4D">
        <w:t xml:space="preserve">In the Autumn Statement the </w:t>
      </w:r>
      <w:r w:rsidR="004304AC">
        <w:t>C</w:t>
      </w:r>
      <w:r w:rsidR="00A928FC" w:rsidRPr="00EE6A4D">
        <w:t>hancellor announced that ‘</w:t>
      </w:r>
      <w:r w:rsidR="00A928FC" w:rsidRPr="00EE6A4D">
        <w:rPr>
          <w:iCs/>
        </w:rPr>
        <w:t xml:space="preserve">new pilots for 2018-19 will be announced following the Department for Communities and Local </w:t>
      </w:r>
      <w:r w:rsidR="00A928FC" w:rsidRPr="0023679C">
        <w:rPr>
          <w:iCs/>
          <w:szCs w:val="24"/>
        </w:rPr>
        <w:t xml:space="preserve">Government’s (DCLG) assessment of recent applications to its scheme’. </w:t>
      </w:r>
      <w:r w:rsidR="0023679C" w:rsidRPr="0023679C">
        <w:rPr>
          <w:iCs/>
          <w:szCs w:val="24"/>
        </w:rPr>
        <w:t>It is expected that this will be announced alongside the Finance Settlement in December.</w:t>
      </w:r>
      <w:r w:rsidR="00747462">
        <w:rPr>
          <w:iCs/>
        </w:rPr>
        <w:t xml:space="preserve"> </w:t>
      </w:r>
      <w:r w:rsidR="00747462" w:rsidRPr="00CE0C1F">
        <w:t>Should this b</w:t>
      </w:r>
      <w:r w:rsidR="00747462">
        <w:t>id b</w:t>
      </w:r>
      <w:r w:rsidR="00747462" w:rsidRPr="00CE0C1F">
        <w:t>e successful then the current West Oxfordshire Business Rates Pool consisting of Oxfordshire County Council (OCC), Cherwell District Council (CDC) and West Oxfordshire District Council (WODC) will not be formed. Equally Oxford City Council will not be part of the Business Rates Distribution Group.</w:t>
      </w:r>
    </w:p>
    <w:p w14:paraId="552126DD" w14:textId="77777777" w:rsidR="000743AA" w:rsidRPr="008D6AFC" w:rsidRDefault="000743AA" w:rsidP="008D6AFC">
      <w:pPr>
        <w:spacing w:before="240" w:after="120"/>
        <w:outlineLvl w:val="0"/>
        <w:rPr>
          <w:b/>
          <w:color w:val="000000"/>
          <w:lang w:eastAsia="en-GB"/>
        </w:rPr>
      </w:pPr>
      <w:r w:rsidRPr="008D6AFC">
        <w:rPr>
          <w:b/>
          <w:color w:val="000000"/>
          <w:lang w:eastAsia="en-GB"/>
        </w:rPr>
        <w:t>Oxfordshire Place Based Housing and Growth Deal</w:t>
      </w:r>
    </w:p>
    <w:p w14:paraId="73DCE298" w14:textId="77777777" w:rsidR="00EC0302" w:rsidRDefault="002F59E6" w:rsidP="00EC0302">
      <w:pPr>
        <w:ind w:left="720" w:hanging="720"/>
      </w:pPr>
      <w:r>
        <w:t>26</w:t>
      </w:r>
      <w:r w:rsidR="00844083">
        <w:tab/>
      </w:r>
      <w:r w:rsidR="00EC0302">
        <w:t>Following the Autumn Budge</w:t>
      </w:r>
      <w:r w:rsidR="00BC480F">
        <w:t>t</w:t>
      </w:r>
      <w:r w:rsidR="00EC0302">
        <w:t xml:space="preserve"> the Oxfordshire Growth Board has announced that the Oxfordshire councils and the Oxfordshire Local Enterprise Partnership (</w:t>
      </w:r>
      <w:proofErr w:type="spellStart"/>
      <w:r w:rsidR="00EC0302">
        <w:t>OxLEP</w:t>
      </w:r>
      <w:proofErr w:type="spellEnd"/>
      <w:r w:rsidR="00EC0302">
        <w:t>) have reached an agreement with the Government for an additional investment of £215 million over the next five years</w:t>
      </w:r>
      <w:r w:rsidR="00BC480F">
        <w:t xml:space="preserve"> (£60 million for affordable housing and £150 million for infrastructure)</w:t>
      </w:r>
      <w:r w:rsidR="00EC0302">
        <w:t xml:space="preserve"> to build infrastructure, deliver new homes and boost economic productivity across the </w:t>
      </w:r>
      <w:r w:rsidR="00BC480F">
        <w:t>C</w:t>
      </w:r>
      <w:r w:rsidR="00EC0302">
        <w:t xml:space="preserve">ounty. </w:t>
      </w:r>
    </w:p>
    <w:p w14:paraId="7BEDDA26" w14:textId="77777777" w:rsidR="00EC0302" w:rsidRDefault="00EC0302" w:rsidP="00EC0302"/>
    <w:p w14:paraId="6ED6EA99" w14:textId="77777777" w:rsidR="00EC0302" w:rsidRDefault="002F59E6" w:rsidP="00F254C7">
      <w:pPr>
        <w:ind w:left="720" w:hanging="720"/>
        <w:rPr>
          <w:color w:val="000000"/>
        </w:rPr>
      </w:pPr>
      <w:r>
        <w:rPr>
          <w:color w:val="000000"/>
        </w:rPr>
        <w:t>27</w:t>
      </w:r>
      <w:r w:rsidR="00F254C7">
        <w:rPr>
          <w:color w:val="000000"/>
        </w:rPr>
        <w:tab/>
      </w:r>
      <w:r w:rsidR="00EC0302">
        <w:rPr>
          <w:color w:val="000000"/>
        </w:rPr>
        <w:t xml:space="preserve">For the City </w:t>
      </w:r>
      <w:r w:rsidR="00BC480F">
        <w:rPr>
          <w:color w:val="000000"/>
        </w:rPr>
        <w:t>C</w:t>
      </w:r>
      <w:r w:rsidR="00EC0302">
        <w:rPr>
          <w:color w:val="000000"/>
        </w:rPr>
        <w:t xml:space="preserve">ouncil the deal offers the potential to increase investment in building homes for affordable and social rent and in infrastructure to support our key development projects.  </w:t>
      </w:r>
    </w:p>
    <w:p w14:paraId="45F2E718" w14:textId="77777777" w:rsidR="00EC0302" w:rsidRDefault="00EC0302" w:rsidP="00EC0302"/>
    <w:p w14:paraId="129852C5" w14:textId="77777777" w:rsidR="00EC0302" w:rsidRDefault="002F59E6" w:rsidP="0023679C">
      <w:pPr>
        <w:ind w:left="720" w:hanging="720"/>
      </w:pPr>
      <w:r>
        <w:t>28</w:t>
      </w:r>
      <w:r w:rsidR="00F254C7">
        <w:tab/>
      </w:r>
      <w:r w:rsidR="00EC0302">
        <w:t>The funding will not only frame Oxfordshire’s development</w:t>
      </w:r>
      <w:r w:rsidR="00A420CE">
        <w:t xml:space="preserve"> through</w:t>
      </w:r>
      <w:r w:rsidR="00A420CE" w:rsidRPr="00A420CE">
        <w:t xml:space="preserve"> </w:t>
      </w:r>
      <w:r w:rsidR="00A420CE">
        <w:t>the production of a Joint Strategic Spatial Plan to provide a county-wide planning framework to guide growth</w:t>
      </w:r>
      <w:r w:rsidR="00EC0302">
        <w:t xml:space="preserve">, it </w:t>
      </w:r>
      <w:r w:rsidR="00A420CE">
        <w:t xml:space="preserve">will also </w:t>
      </w:r>
      <w:r w:rsidR="00EC0302">
        <w:t>have a</w:t>
      </w:r>
      <w:r w:rsidR="00A420CE">
        <w:t xml:space="preserve">n </w:t>
      </w:r>
      <w:r w:rsidR="00EC0302">
        <w:t>effect on the way that planning, finance and other services in each of the county’s six councils will operate</w:t>
      </w:r>
      <w:r w:rsidR="00A420CE">
        <w:t>.</w:t>
      </w:r>
    </w:p>
    <w:p w14:paraId="78AC1B3E" w14:textId="77777777" w:rsidR="0023679C" w:rsidRDefault="0023679C" w:rsidP="0023679C">
      <w:pPr>
        <w:ind w:left="720" w:hanging="720"/>
      </w:pPr>
    </w:p>
    <w:p w14:paraId="7D9E04E4" w14:textId="77777777" w:rsidR="00EC0302" w:rsidRDefault="002F59E6" w:rsidP="00F254C7">
      <w:pPr>
        <w:ind w:left="720" w:hanging="720"/>
        <w:rPr>
          <w:color w:val="000000"/>
        </w:rPr>
      </w:pPr>
      <w:r>
        <w:t>29</w:t>
      </w:r>
      <w:r w:rsidR="00F254C7">
        <w:tab/>
      </w:r>
      <w:r w:rsidR="00EC0302">
        <w:t>The Growth Board, working with the Homes and Communities Agency, the Highways Agency and other partners, will oversee the investment with the aim of cementing a partnership with the Government to deliver growth and economic development</w:t>
      </w:r>
      <w:r w:rsidR="00BC480F">
        <w:t xml:space="preserve"> across the County</w:t>
      </w:r>
      <w:r w:rsidR="00EC0302">
        <w:t xml:space="preserve">. </w:t>
      </w:r>
      <w:r w:rsidR="00EC0302">
        <w:rPr>
          <w:color w:val="000000"/>
        </w:rPr>
        <w:t xml:space="preserve">It will also help Oxfordshire councils achieve the ambition of </w:t>
      </w:r>
      <w:r w:rsidR="00BC480F">
        <w:rPr>
          <w:color w:val="000000"/>
        </w:rPr>
        <w:t>delivering</w:t>
      </w:r>
      <w:r w:rsidR="00EC0302">
        <w:rPr>
          <w:color w:val="000000"/>
        </w:rPr>
        <w:t>100</w:t>
      </w:r>
      <w:proofErr w:type="gramStart"/>
      <w:r w:rsidR="00EC0302">
        <w:rPr>
          <w:color w:val="000000"/>
        </w:rPr>
        <w:t>,000</w:t>
      </w:r>
      <w:proofErr w:type="gramEnd"/>
      <w:r w:rsidR="00EC0302">
        <w:rPr>
          <w:color w:val="000000"/>
        </w:rPr>
        <w:t xml:space="preserve"> new homes across the </w:t>
      </w:r>
      <w:r w:rsidR="00BC480F">
        <w:rPr>
          <w:color w:val="000000"/>
        </w:rPr>
        <w:t>C</w:t>
      </w:r>
      <w:r w:rsidR="00EC0302">
        <w:rPr>
          <w:color w:val="000000"/>
        </w:rPr>
        <w:t>ounty over the period 2011-2031, as identified through the 2014 countywide Strategic Housing Market Assessment.</w:t>
      </w:r>
    </w:p>
    <w:p w14:paraId="322EAA45" w14:textId="77777777" w:rsidR="00EC0302" w:rsidRDefault="00EC0302" w:rsidP="00EC0302"/>
    <w:p w14:paraId="4346F441" w14:textId="77777777" w:rsidR="000743AA" w:rsidRDefault="002F59E6" w:rsidP="00F254C7">
      <w:pPr>
        <w:ind w:left="720" w:hanging="720"/>
      </w:pPr>
      <w:r>
        <w:t>30</w:t>
      </w:r>
      <w:r w:rsidR="00F254C7">
        <w:tab/>
      </w:r>
      <w:r w:rsidR="000743AA">
        <w:t xml:space="preserve">Oxfordshire's local authorities and partners including the Universities and </w:t>
      </w:r>
      <w:proofErr w:type="spellStart"/>
      <w:r w:rsidR="00BC480F">
        <w:t>Ox</w:t>
      </w:r>
      <w:r w:rsidR="000743AA">
        <w:t>LEP</w:t>
      </w:r>
      <w:proofErr w:type="spellEnd"/>
      <w:r w:rsidR="000743AA">
        <w:t xml:space="preserve"> have worked through the Oxfordshire Growth Board to submit an ambitious and comprehensive package of infrastructure, housing, and economic investment proposals to Government. </w:t>
      </w:r>
      <w:r w:rsidR="005E168B">
        <w:t>T</w:t>
      </w:r>
      <w:r w:rsidR="000743AA">
        <w:t xml:space="preserve">he Deal </w:t>
      </w:r>
      <w:r w:rsidR="00BC480F">
        <w:t xml:space="preserve">is the </w:t>
      </w:r>
      <w:r w:rsidR="000743AA">
        <w:t xml:space="preserve">first stage in </w:t>
      </w:r>
      <w:r w:rsidR="00BC480F">
        <w:t xml:space="preserve">what will hopefully be </w:t>
      </w:r>
      <w:r w:rsidR="000743AA">
        <w:t>an on-going discussion with Government about long term investment in Oxfordshire’s potential</w:t>
      </w:r>
    </w:p>
    <w:p w14:paraId="14153DA1" w14:textId="77777777" w:rsidR="00EC0302" w:rsidRDefault="00EC0302" w:rsidP="00EC0302">
      <w:pPr>
        <w:pStyle w:val="ListParagraph"/>
      </w:pPr>
    </w:p>
    <w:p w14:paraId="0DE9FF11" w14:textId="77777777" w:rsidR="00EC0302" w:rsidRPr="00F254C7" w:rsidRDefault="002F59E6" w:rsidP="00F254C7">
      <w:pPr>
        <w:ind w:left="567" w:hanging="567"/>
        <w:rPr>
          <w:b/>
        </w:rPr>
      </w:pPr>
      <w:r>
        <w:t>31</w:t>
      </w:r>
      <w:r w:rsidR="00F254C7">
        <w:tab/>
      </w:r>
      <w:r w:rsidR="00EC0302">
        <w:t xml:space="preserve">The Government </w:t>
      </w:r>
      <w:r w:rsidR="00BC480F">
        <w:t xml:space="preserve">has </w:t>
      </w:r>
      <w:r w:rsidR="00EC0302">
        <w:t xml:space="preserve">also </w:t>
      </w:r>
      <w:r w:rsidR="00BC480F">
        <w:t xml:space="preserve">committed </w:t>
      </w:r>
      <w:r w:rsidR="00EC0302">
        <w:t xml:space="preserve">£5 million in capacity funding to help take the programme forward. </w:t>
      </w:r>
    </w:p>
    <w:p w14:paraId="214B1AC0" w14:textId="77777777" w:rsidR="000743AA" w:rsidRDefault="000743AA" w:rsidP="008D6AFC">
      <w:pPr>
        <w:rPr>
          <w:highlight w:val="yellow"/>
        </w:rPr>
      </w:pPr>
    </w:p>
    <w:p w14:paraId="594DEA1A" w14:textId="77777777" w:rsidR="00B16E72" w:rsidRPr="008D6AFC" w:rsidRDefault="00B16E72" w:rsidP="008D6AFC">
      <w:pPr>
        <w:spacing w:before="240" w:after="120"/>
        <w:outlineLvl w:val="0"/>
        <w:rPr>
          <w:b/>
          <w:color w:val="000000"/>
          <w:lang w:eastAsia="en-GB"/>
        </w:rPr>
      </w:pPr>
      <w:r w:rsidRPr="008D6AFC">
        <w:rPr>
          <w:b/>
          <w:color w:val="000000"/>
          <w:lang w:eastAsia="en-GB"/>
        </w:rPr>
        <w:t>New Homes Bonus</w:t>
      </w:r>
      <w:r w:rsidR="00B8025B" w:rsidRPr="008D6AFC">
        <w:rPr>
          <w:b/>
          <w:color w:val="000000"/>
          <w:lang w:eastAsia="en-GB"/>
        </w:rPr>
        <w:t xml:space="preserve"> (NHB)</w:t>
      </w:r>
    </w:p>
    <w:p w14:paraId="1D1AC3AF" w14:textId="77777777" w:rsidR="001005F5" w:rsidRPr="00F23542" w:rsidRDefault="00F254C7" w:rsidP="00942056">
      <w:pPr>
        <w:spacing w:after="120"/>
        <w:ind w:left="567" w:right="386" w:hanging="567"/>
        <w:jc w:val="both"/>
      </w:pPr>
      <w:r>
        <w:t>32</w:t>
      </w:r>
      <w:r>
        <w:tab/>
      </w:r>
      <w:r w:rsidR="006F0C2E">
        <w:t xml:space="preserve">The </w:t>
      </w:r>
      <w:r w:rsidR="009912B9">
        <w:t xml:space="preserve">current </w:t>
      </w:r>
      <w:r w:rsidR="006F0C2E">
        <w:t xml:space="preserve">methodology </w:t>
      </w:r>
      <w:r w:rsidR="009912B9">
        <w:t xml:space="preserve">for the allocation of </w:t>
      </w:r>
      <w:r w:rsidR="006F0C2E">
        <w:t xml:space="preserve">New Homes Bonus </w:t>
      </w:r>
      <w:r w:rsidR="009912B9">
        <w:t xml:space="preserve">allows for the award to be </w:t>
      </w:r>
      <w:r w:rsidR="006F0C2E">
        <w:t xml:space="preserve">given for 5 years in 2017-18 with a reduction to 4 years from 2018-19 onwards. In addition from 2017 a national baseline for housing growth </w:t>
      </w:r>
      <w:r w:rsidR="00747462">
        <w:t>was set</w:t>
      </w:r>
      <w:r w:rsidR="006F0C2E">
        <w:t xml:space="preserve"> at 0.4%, below which no New Homes Bonus w</w:t>
      </w:r>
      <w:r w:rsidR="00A420CE">
        <w:t>ill</w:t>
      </w:r>
      <w:r w:rsidR="006F0C2E">
        <w:t xml:space="preserve"> be payable.</w:t>
      </w:r>
      <w:r w:rsidR="00811A9B">
        <w:t xml:space="preserve"> This may change once more details of the scheme are known in December.</w:t>
      </w:r>
    </w:p>
    <w:p w14:paraId="26D1DB0E" w14:textId="6663EDA4" w:rsidR="0002042E" w:rsidRDefault="00F254C7" w:rsidP="00942056">
      <w:pPr>
        <w:spacing w:after="120"/>
        <w:ind w:left="567" w:right="386" w:hanging="567"/>
        <w:jc w:val="both"/>
      </w:pPr>
      <w:r>
        <w:t>33</w:t>
      </w:r>
      <w:r>
        <w:tab/>
      </w:r>
      <w:r w:rsidR="00061569" w:rsidRPr="00F23542">
        <w:t xml:space="preserve">The Council </w:t>
      </w:r>
      <w:r w:rsidR="00854EDB" w:rsidRPr="00F23542">
        <w:t>uses</w:t>
      </w:r>
      <w:r w:rsidR="00061569" w:rsidRPr="00F23542">
        <w:t xml:space="preserve"> New Homes Bonus to fund </w:t>
      </w:r>
      <w:r w:rsidR="00B8025B">
        <w:t>its</w:t>
      </w:r>
      <w:r w:rsidR="00061569" w:rsidRPr="00F23542">
        <w:t xml:space="preserve"> Capital Programme in order to de-risk the Medium Term Financial Strategy. In the event that the grant is lower than estimated or ceases altogether then a mitigating action </w:t>
      </w:r>
      <w:r w:rsidR="00A420CE">
        <w:t>is</w:t>
      </w:r>
      <w:r w:rsidR="00061569" w:rsidRPr="00F23542">
        <w:t xml:space="preserve"> to reduce the </w:t>
      </w:r>
      <w:r w:rsidR="00A71FFE" w:rsidRPr="00F23542">
        <w:t>Capital</w:t>
      </w:r>
      <w:r w:rsidR="00391F91" w:rsidRPr="00F23542">
        <w:t xml:space="preserve"> Programme.</w:t>
      </w:r>
      <w:r w:rsidR="00F23542" w:rsidRPr="00F23542">
        <w:t xml:space="preserve"> </w:t>
      </w:r>
    </w:p>
    <w:p w14:paraId="5BCD70B1" w14:textId="77777777" w:rsidR="00BE0DF7" w:rsidRDefault="00BE0DF7" w:rsidP="00942056">
      <w:pPr>
        <w:spacing w:after="120"/>
        <w:ind w:left="567" w:right="386" w:hanging="567"/>
        <w:jc w:val="both"/>
      </w:pPr>
    </w:p>
    <w:tbl>
      <w:tblPr>
        <w:tblW w:w="8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70"/>
        <w:gridCol w:w="1470"/>
        <w:gridCol w:w="1470"/>
        <w:gridCol w:w="1470"/>
      </w:tblGrid>
      <w:tr w:rsidR="001F439F" w:rsidRPr="002C2483" w14:paraId="20AB661B" w14:textId="77777777" w:rsidTr="008E66A7">
        <w:tc>
          <w:tcPr>
            <w:tcW w:w="8603" w:type="dxa"/>
            <w:gridSpan w:val="5"/>
            <w:shd w:val="clear" w:color="auto" w:fill="BFBFBF" w:themeFill="background1" w:themeFillShade="BF"/>
          </w:tcPr>
          <w:p w14:paraId="73691083" w14:textId="77777777" w:rsidR="001F439F" w:rsidRPr="00B62F02" w:rsidRDefault="001F439F" w:rsidP="008E66A7">
            <w:pPr>
              <w:spacing w:after="120"/>
              <w:ind w:right="386"/>
              <w:rPr>
                <w:b/>
              </w:rPr>
            </w:pPr>
            <w:r w:rsidRPr="00B62F02">
              <w:rPr>
                <w:b/>
              </w:rPr>
              <w:t xml:space="preserve">Table </w:t>
            </w:r>
            <w:r w:rsidR="008E66A7">
              <w:rPr>
                <w:b/>
              </w:rPr>
              <w:t>3</w:t>
            </w:r>
            <w:r w:rsidR="00DD0A73" w:rsidRPr="00B62F02">
              <w:rPr>
                <w:b/>
              </w:rPr>
              <w:t xml:space="preserve"> :</w:t>
            </w:r>
            <w:r w:rsidRPr="00B62F02">
              <w:rPr>
                <w:b/>
              </w:rPr>
              <w:t xml:space="preserve"> </w:t>
            </w:r>
            <w:r w:rsidR="00505BE0" w:rsidRPr="00B62F02">
              <w:rPr>
                <w:b/>
              </w:rPr>
              <w:t xml:space="preserve">Anticipated </w:t>
            </w:r>
            <w:r w:rsidRPr="00B62F02">
              <w:rPr>
                <w:b/>
              </w:rPr>
              <w:t>New Homes Bonus</w:t>
            </w:r>
          </w:p>
        </w:tc>
      </w:tr>
      <w:tr w:rsidR="006F0C2E" w:rsidRPr="002C2483" w14:paraId="533E3FE1" w14:textId="77777777" w:rsidTr="008E66A7">
        <w:tc>
          <w:tcPr>
            <w:tcW w:w="2723" w:type="dxa"/>
            <w:shd w:val="clear" w:color="auto" w:fill="BFBFBF" w:themeFill="background1" w:themeFillShade="BF"/>
          </w:tcPr>
          <w:p w14:paraId="6A78DEAA" w14:textId="77777777" w:rsidR="006F0C2E" w:rsidRPr="00B62F02" w:rsidRDefault="006F0C2E" w:rsidP="0096590F">
            <w:pPr>
              <w:spacing w:after="120"/>
              <w:ind w:right="386"/>
              <w:jc w:val="both"/>
            </w:pPr>
          </w:p>
        </w:tc>
        <w:tc>
          <w:tcPr>
            <w:tcW w:w="1470" w:type="dxa"/>
            <w:shd w:val="clear" w:color="auto" w:fill="BFBFBF" w:themeFill="background1" w:themeFillShade="BF"/>
          </w:tcPr>
          <w:p w14:paraId="3A031D30" w14:textId="77777777" w:rsidR="006F0C2E" w:rsidRPr="00B62F02" w:rsidRDefault="006F0C2E" w:rsidP="00186C0A">
            <w:pPr>
              <w:spacing w:after="120"/>
              <w:ind w:right="386"/>
              <w:jc w:val="center"/>
              <w:rPr>
                <w:b/>
              </w:rPr>
            </w:pPr>
            <w:r w:rsidRPr="00B62F02">
              <w:rPr>
                <w:b/>
              </w:rPr>
              <w:t>2018/19</w:t>
            </w:r>
          </w:p>
        </w:tc>
        <w:tc>
          <w:tcPr>
            <w:tcW w:w="1470" w:type="dxa"/>
            <w:shd w:val="clear" w:color="auto" w:fill="BFBFBF" w:themeFill="background1" w:themeFillShade="BF"/>
          </w:tcPr>
          <w:p w14:paraId="248396D3" w14:textId="77777777" w:rsidR="006F0C2E" w:rsidRPr="00B62F02" w:rsidRDefault="006F0C2E" w:rsidP="00186C0A">
            <w:pPr>
              <w:spacing w:after="120"/>
              <w:ind w:right="386"/>
              <w:jc w:val="center"/>
              <w:rPr>
                <w:b/>
              </w:rPr>
            </w:pPr>
            <w:r w:rsidRPr="00B62F02">
              <w:rPr>
                <w:b/>
              </w:rPr>
              <w:t>2019/20</w:t>
            </w:r>
          </w:p>
        </w:tc>
        <w:tc>
          <w:tcPr>
            <w:tcW w:w="1470" w:type="dxa"/>
            <w:shd w:val="clear" w:color="auto" w:fill="BFBFBF" w:themeFill="background1" w:themeFillShade="BF"/>
          </w:tcPr>
          <w:p w14:paraId="673DF511" w14:textId="77777777" w:rsidR="006F0C2E" w:rsidRPr="00B62F02" w:rsidRDefault="006F0C2E" w:rsidP="00186C0A">
            <w:pPr>
              <w:spacing w:after="120"/>
              <w:ind w:right="386"/>
              <w:jc w:val="center"/>
              <w:rPr>
                <w:b/>
              </w:rPr>
            </w:pPr>
            <w:r w:rsidRPr="00B62F02">
              <w:rPr>
                <w:b/>
              </w:rPr>
              <w:t>2020/21</w:t>
            </w:r>
          </w:p>
        </w:tc>
        <w:tc>
          <w:tcPr>
            <w:tcW w:w="1470" w:type="dxa"/>
            <w:shd w:val="clear" w:color="auto" w:fill="BFBFBF" w:themeFill="background1" w:themeFillShade="BF"/>
          </w:tcPr>
          <w:p w14:paraId="4EEF73E7" w14:textId="77777777" w:rsidR="006F0C2E" w:rsidRPr="00B62F02" w:rsidRDefault="006F0C2E" w:rsidP="00B62F02">
            <w:pPr>
              <w:spacing w:after="120"/>
              <w:ind w:right="386"/>
              <w:jc w:val="center"/>
              <w:rPr>
                <w:b/>
              </w:rPr>
            </w:pPr>
            <w:r w:rsidRPr="00B62F02">
              <w:rPr>
                <w:b/>
              </w:rPr>
              <w:t>2020/21</w:t>
            </w:r>
          </w:p>
        </w:tc>
      </w:tr>
      <w:tr w:rsidR="006F0C2E" w:rsidRPr="002C2483" w14:paraId="48E60B95" w14:textId="77777777" w:rsidTr="008E66A7">
        <w:tc>
          <w:tcPr>
            <w:tcW w:w="2723" w:type="dxa"/>
            <w:shd w:val="clear" w:color="auto" w:fill="BFBFBF" w:themeFill="background1" w:themeFillShade="BF"/>
          </w:tcPr>
          <w:p w14:paraId="16258836" w14:textId="77777777" w:rsidR="006F0C2E" w:rsidRPr="00B62F02" w:rsidRDefault="006F0C2E" w:rsidP="0096590F">
            <w:pPr>
              <w:spacing w:after="120"/>
              <w:ind w:right="386"/>
              <w:jc w:val="both"/>
            </w:pPr>
          </w:p>
        </w:tc>
        <w:tc>
          <w:tcPr>
            <w:tcW w:w="1470" w:type="dxa"/>
            <w:shd w:val="clear" w:color="auto" w:fill="BFBFBF" w:themeFill="background1" w:themeFillShade="BF"/>
          </w:tcPr>
          <w:p w14:paraId="38E7418E" w14:textId="77777777" w:rsidR="006F0C2E" w:rsidRPr="00B62F02" w:rsidRDefault="006F0C2E" w:rsidP="00F463F3">
            <w:pPr>
              <w:jc w:val="center"/>
              <w:rPr>
                <w:b/>
              </w:rPr>
            </w:pPr>
            <w:r w:rsidRPr="00B62F02">
              <w:rPr>
                <w:b/>
              </w:rPr>
              <w:t>£000’s</w:t>
            </w:r>
          </w:p>
        </w:tc>
        <w:tc>
          <w:tcPr>
            <w:tcW w:w="1470" w:type="dxa"/>
            <w:shd w:val="clear" w:color="auto" w:fill="BFBFBF" w:themeFill="background1" w:themeFillShade="BF"/>
          </w:tcPr>
          <w:p w14:paraId="1ACAB86F" w14:textId="77777777" w:rsidR="006F0C2E" w:rsidRPr="00B62F02" w:rsidRDefault="006F0C2E" w:rsidP="00F463F3">
            <w:pPr>
              <w:jc w:val="center"/>
              <w:rPr>
                <w:b/>
              </w:rPr>
            </w:pPr>
            <w:r w:rsidRPr="00B62F02">
              <w:rPr>
                <w:b/>
              </w:rPr>
              <w:t>£000’s</w:t>
            </w:r>
          </w:p>
        </w:tc>
        <w:tc>
          <w:tcPr>
            <w:tcW w:w="1470" w:type="dxa"/>
            <w:shd w:val="clear" w:color="auto" w:fill="BFBFBF" w:themeFill="background1" w:themeFillShade="BF"/>
          </w:tcPr>
          <w:p w14:paraId="6E12379D" w14:textId="77777777" w:rsidR="006F0C2E" w:rsidRPr="00B62F02" w:rsidRDefault="006F0C2E" w:rsidP="00F463F3">
            <w:pPr>
              <w:jc w:val="center"/>
              <w:rPr>
                <w:b/>
              </w:rPr>
            </w:pPr>
            <w:r w:rsidRPr="00B62F02">
              <w:rPr>
                <w:b/>
              </w:rPr>
              <w:t>£000’s</w:t>
            </w:r>
          </w:p>
        </w:tc>
        <w:tc>
          <w:tcPr>
            <w:tcW w:w="1470" w:type="dxa"/>
            <w:shd w:val="clear" w:color="auto" w:fill="BFBFBF" w:themeFill="background1" w:themeFillShade="BF"/>
          </w:tcPr>
          <w:p w14:paraId="4BEC7234" w14:textId="77777777" w:rsidR="006F0C2E" w:rsidRPr="00B62F02" w:rsidRDefault="006F0C2E" w:rsidP="0096590F">
            <w:pPr>
              <w:jc w:val="center"/>
              <w:rPr>
                <w:b/>
              </w:rPr>
            </w:pPr>
            <w:r w:rsidRPr="00B62F02">
              <w:rPr>
                <w:b/>
              </w:rPr>
              <w:t>£000’s</w:t>
            </w:r>
          </w:p>
        </w:tc>
      </w:tr>
      <w:tr w:rsidR="006F0C2E" w:rsidRPr="002C2483" w14:paraId="0C8EB5CE" w14:textId="77777777" w:rsidTr="00942056">
        <w:tc>
          <w:tcPr>
            <w:tcW w:w="2723" w:type="dxa"/>
            <w:shd w:val="clear" w:color="auto" w:fill="auto"/>
          </w:tcPr>
          <w:p w14:paraId="3C57330A" w14:textId="77777777" w:rsidR="006F0C2E" w:rsidRPr="00B62F02" w:rsidRDefault="006F0C2E" w:rsidP="0096590F">
            <w:pPr>
              <w:spacing w:after="120"/>
              <w:ind w:right="386"/>
              <w:jc w:val="both"/>
            </w:pPr>
            <w:r w:rsidRPr="00B62F02">
              <w:t>New Homes Bonus</w:t>
            </w:r>
          </w:p>
        </w:tc>
        <w:tc>
          <w:tcPr>
            <w:tcW w:w="1470" w:type="dxa"/>
            <w:shd w:val="clear" w:color="auto" w:fill="auto"/>
          </w:tcPr>
          <w:p w14:paraId="784DCD49" w14:textId="77777777" w:rsidR="006F0C2E" w:rsidRPr="00B62F02" w:rsidRDefault="006F0C2E" w:rsidP="00F463F3">
            <w:pPr>
              <w:spacing w:after="120"/>
              <w:jc w:val="right"/>
            </w:pPr>
            <w:r w:rsidRPr="00B62F02">
              <w:t>1,</w:t>
            </w:r>
            <w:r>
              <w:t>275</w:t>
            </w:r>
          </w:p>
        </w:tc>
        <w:tc>
          <w:tcPr>
            <w:tcW w:w="1470" w:type="dxa"/>
            <w:shd w:val="clear" w:color="auto" w:fill="auto"/>
          </w:tcPr>
          <w:p w14:paraId="5BC974BC" w14:textId="77777777" w:rsidR="006F0C2E" w:rsidRPr="00B62F02" w:rsidRDefault="006F0C2E" w:rsidP="006F0C2E">
            <w:pPr>
              <w:spacing w:after="120"/>
              <w:ind w:right="-7"/>
              <w:jc w:val="right"/>
            </w:pPr>
            <w:r w:rsidRPr="00B62F02">
              <w:t>1,</w:t>
            </w:r>
            <w:r>
              <w:t>699</w:t>
            </w:r>
          </w:p>
        </w:tc>
        <w:tc>
          <w:tcPr>
            <w:tcW w:w="1470" w:type="dxa"/>
            <w:shd w:val="clear" w:color="auto" w:fill="auto"/>
          </w:tcPr>
          <w:p w14:paraId="5A903D04" w14:textId="77777777" w:rsidR="006F0C2E" w:rsidRPr="00B62F02" w:rsidRDefault="006F0C2E" w:rsidP="006F0C2E">
            <w:pPr>
              <w:spacing w:after="120"/>
              <w:jc w:val="right"/>
            </w:pPr>
            <w:r w:rsidRPr="00B62F02">
              <w:t>1,</w:t>
            </w:r>
            <w:r>
              <w:t>503</w:t>
            </w:r>
          </w:p>
        </w:tc>
        <w:tc>
          <w:tcPr>
            <w:tcW w:w="1470" w:type="dxa"/>
            <w:shd w:val="clear" w:color="auto" w:fill="auto"/>
          </w:tcPr>
          <w:p w14:paraId="6A81B1CB" w14:textId="77777777" w:rsidR="006F0C2E" w:rsidRPr="00B62F02" w:rsidRDefault="006F0C2E" w:rsidP="006F0C2E">
            <w:pPr>
              <w:spacing w:after="120"/>
              <w:jc w:val="right"/>
            </w:pPr>
            <w:r w:rsidRPr="00B62F02">
              <w:t>1,</w:t>
            </w:r>
            <w:r>
              <w:t>170</w:t>
            </w:r>
          </w:p>
        </w:tc>
      </w:tr>
      <w:tr w:rsidR="006F0C2E" w:rsidRPr="002C2483" w14:paraId="64E0017D" w14:textId="77777777" w:rsidTr="00942056">
        <w:tc>
          <w:tcPr>
            <w:tcW w:w="2723" w:type="dxa"/>
            <w:shd w:val="clear" w:color="auto" w:fill="auto"/>
          </w:tcPr>
          <w:p w14:paraId="59E15961" w14:textId="77777777" w:rsidR="006F0C2E" w:rsidRPr="00B62F02" w:rsidRDefault="006F0C2E" w:rsidP="0096590F">
            <w:pPr>
              <w:spacing w:after="120"/>
              <w:ind w:right="386"/>
              <w:jc w:val="both"/>
            </w:pPr>
            <w:r w:rsidRPr="00B62F02">
              <w:t>Percentage increase/(decrease)</w:t>
            </w:r>
          </w:p>
        </w:tc>
        <w:tc>
          <w:tcPr>
            <w:tcW w:w="1470" w:type="dxa"/>
            <w:shd w:val="clear" w:color="auto" w:fill="auto"/>
          </w:tcPr>
          <w:p w14:paraId="352ECB43" w14:textId="77777777" w:rsidR="006F0C2E" w:rsidRPr="00B62F02" w:rsidRDefault="006F0C2E" w:rsidP="00F463F3">
            <w:pPr>
              <w:spacing w:after="120"/>
              <w:jc w:val="right"/>
            </w:pPr>
            <w:r>
              <w:t>(4.7)</w:t>
            </w:r>
          </w:p>
        </w:tc>
        <w:tc>
          <w:tcPr>
            <w:tcW w:w="1470" w:type="dxa"/>
            <w:shd w:val="clear" w:color="auto" w:fill="auto"/>
          </w:tcPr>
          <w:p w14:paraId="5F3887D4" w14:textId="77777777" w:rsidR="006F0C2E" w:rsidRPr="00B62F02" w:rsidRDefault="006F0C2E" w:rsidP="00F463F3">
            <w:pPr>
              <w:spacing w:after="120"/>
              <w:ind w:right="-7"/>
              <w:jc w:val="right"/>
            </w:pPr>
            <w:r>
              <w:t>33.2</w:t>
            </w:r>
          </w:p>
        </w:tc>
        <w:tc>
          <w:tcPr>
            <w:tcW w:w="1470" w:type="dxa"/>
            <w:shd w:val="clear" w:color="auto" w:fill="auto"/>
          </w:tcPr>
          <w:p w14:paraId="16BFBC97" w14:textId="77777777" w:rsidR="006F0C2E" w:rsidRPr="00B62F02" w:rsidRDefault="006F0C2E" w:rsidP="00F463F3">
            <w:pPr>
              <w:spacing w:after="120"/>
              <w:jc w:val="right"/>
            </w:pPr>
            <w:r>
              <w:t>(11.5)</w:t>
            </w:r>
          </w:p>
        </w:tc>
        <w:tc>
          <w:tcPr>
            <w:tcW w:w="1470" w:type="dxa"/>
            <w:shd w:val="clear" w:color="auto" w:fill="auto"/>
          </w:tcPr>
          <w:p w14:paraId="54B2A7E6" w14:textId="77777777" w:rsidR="006F0C2E" w:rsidRPr="00B62F02" w:rsidRDefault="006F0C2E" w:rsidP="006F0C2E">
            <w:pPr>
              <w:spacing w:after="120"/>
              <w:jc w:val="right"/>
            </w:pPr>
            <w:r>
              <w:t>(22.2)</w:t>
            </w:r>
          </w:p>
        </w:tc>
      </w:tr>
    </w:tbl>
    <w:p w14:paraId="7A1769BD" w14:textId="77777777" w:rsidR="00BE0DF7" w:rsidRDefault="00BE0DF7" w:rsidP="008D6AFC">
      <w:pPr>
        <w:spacing w:after="120"/>
        <w:ind w:right="386"/>
        <w:jc w:val="both"/>
        <w:rPr>
          <w:highlight w:val="yellow"/>
        </w:rPr>
      </w:pPr>
    </w:p>
    <w:p w14:paraId="6F405F5C" w14:textId="77777777" w:rsidR="00592064" w:rsidRPr="00747462" w:rsidRDefault="00A420CE" w:rsidP="00592064">
      <w:pPr>
        <w:ind w:left="567" w:hanging="567"/>
        <w:rPr>
          <w:b/>
          <w:color w:val="000000"/>
        </w:rPr>
      </w:pPr>
      <w:r w:rsidRPr="00747462">
        <w:rPr>
          <w:b/>
          <w:color w:val="000000"/>
        </w:rPr>
        <w:t>Financial Inclusion</w:t>
      </w:r>
    </w:p>
    <w:p w14:paraId="139740CA" w14:textId="22A08B24" w:rsidR="00592064" w:rsidRDefault="00F254C7" w:rsidP="00592064">
      <w:pPr>
        <w:ind w:left="567" w:hanging="567"/>
        <w:rPr>
          <w:color w:val="000000"/>
        </w:rPr>
      </w:pPr>
      <w:r>
        <w:rPr>
          <w:color w:val="000000"/>
        </w:rPr>
        <w:t>34</w:t>
      </w:r>
      <w:r>
        <w:rPr>
          <w:color w:val="000000"/>
        </w:rPr>
        <w:tab/>
      </w:r>
      <w:r w:rsidR="00592064">
        <w:rPr>
          <w:color w:val="000000"/>
        </w:rPr>
        <w:t xml:space="preserve">The Council is committed to </w:t>
      </w:r>
      <w:r w:rsidR="00A420CE">
        <w:rPr>
          <w:color w:val="000000"/>
        </w:rPr>
        <w:t>promoting financial inclusion</w:t>
      </w:r>
      <w:r w:rsidR="0051141A">
        <w:rPr>
          <w:color w:val="000000"/>
        </w:rPr>
        <w:t xml:space="preserve"> </w:t>
      </w:r>
      <w:r w:rsidR="00592064">
        <w:rPr>
          <w:color w:val="000000"/>
        </w:rPr>
        <w:t xml:space="preserve">and prioritises services which achieve this. Specific areas which are </w:t>
      </w:r>
      <w:r w:rsidR="00D21162">
        <w:rPr>
          <w:color w:val="000000"/>
        </w:rPr>
        <w:t>discussed</w:t>
      </w:r>
      <w:r w:rsidR="00592064">
        <w:rPr>
          <w:color w:val="000000"/>
        </w:rPr>
        <w:t xml:space="preserve"> in more details below include:</w:t>
      </w:r>
    </w:p>
    <w:p w14:paraId="2C9D3C4F" w14:textId="77777777" w:rsidR="00592064" w:rsidRDefault="00592064" w:rsidP="00592064">
      <w:pPr>
        <w:ind w:left="567" w:hanging="567"/>
        <w:rPr>
          <w:color w:val="000000"/>
        </w:rPr>
      </w:pPr>
      <w:r>
        <w:rPr>
          <w:color w:val="000000"/>
        </w:rPr>
        <w:tab/>
      </w:r>
    </w:p>
    <w:p w14:paraId="271F5BA6" w14:textId="77777777" w:rsidR="00592064" w:rsidRDefault="00592064" w:rsidP="006C4C35">
      <w:pPr>
        <w:pStyle w:val="ListParagraph"/>
        <w:numPr>
          <w:ilvl w:val="0"/>
          <w:numId w:val="24"/>
        </w:numPr>
        <w:rPr>
          <w:color w:val="000000"/>
        </w:rPr>
      </w:pPr>
      <w:r>
        <w:rPr>
          <w:color w:val="000000"/>
        </w:rPr>
        <w:t xml:space="preserve">Hardship </w:t>
      </w:r>
      <w:r w:rsidR="0051141A">
        <w:rPr>
          <w:color w:val="000000"/>
        </w:rPr>
        <w:t>F</w:t>
      </w:r>
      <w:r>
        <w:rPr>
          <w:color w:val="000000"/>
        </w:rPr>
        <w:t xml:space="preserve">und to assist </w:t>
      </w:r>
      <w:r w:rsidR="0051141A">
        <w:rPr>
          <w:color w:val="000000"/>
        </w:rPr>
        <w:t>U</w:t>
      </w:r>
      <w:r>
        <w:rPr>
          <w:color w:val="000000"/>
        </w:rPr>
        <w:t xml:space="preserve">niversal </w:t>
      </w:r>
      <w:r w:rsidR="0051141A">
        <w:rPr>
          <w:color w:val="000000"/>
        </w:rPr>
        <w:t>C</w:t>
      </w:r>
      <w:r>
        <w:rPr>
          <w:color w:val="000000"/>
        </w:rPr>
        <w:t>redit claimants</w:t>
      </w:r>
    </w:p>
    <w:p w14:paraId="790BA493" w14:textId="77777777" w:rsidR="00592064" w:rsidRDefault="00592064" w:rsidP="006C4C35">
      <w:pPr>
        <w:pStyle w:val="ListParagraph"/>
        <w:numPr>
          <w:ilvl w:val="0"/>
          <w:numId w:val="24"/>
        </w:numPr>
        <w:rPr>
          <w:color w:val="000000"/>
        </w:rPr>
      </w:pPr>
      <w:r>
        <w:rPr>
          <w:color w:val="000000"/>
        </w:rPr>
        <w:t>Council Tax Support</w:t>
      </w:r>
    </w:p>
    <w:p w14:paraId="4EB5A139" w14:textId="77777777" w:rsidR="00592064" w:rsidRDefault="00592064" w:rsidP="006C4C35">
      <w:pPr>
        <w:pStyle w:val="ListParagraph"/>
        <w:numPr>
          <w:ilvl w:val="0"/>
          <w:numId w:val="24"/>
        </w:numPr>
        <w:rPr>
          <w:color w:val="000000"/>
        </w:rPr>
      </w:pPr>
      <w:r>
        <w:rPr>
          <w:color w:val="000000"/>
        </w:rPr>
        <w:t>Homelessness</w:t>
      </w:r>
    </w:p>
    <w:p w14:paraId="28F6F16F" w14:textId="77777777" w:rsidR="00592064" w:rsidRDefault="00592064" w:rsidP="006C4C35">
      <w:pPr>
        <w:pStyle w:val="ListParagraph"/>
        <w:numPr>
          <w:ilvl w:val="0"/>
          <w:numId w:val="24"/>
        </w:numPr>
        <w:rPr>
          <w:color w:val="000000"/>
        </w:rPr>
      </w:pPr>
      <w:r>
        <w:rPr>
          <w:color w:val="000000"/>
        </w:rPr>
        <w:t xml:space="preserve">Concessions for those on </w:t>
      </w:r>
      <w:r w:rsidR="0051141A">
        <w:rPr>
          <w:color w:val="000000"/>
        </w:rPr>
        <w:t>benefits</w:t>
      </w:r>
    </w:p>
    <w:p w14:paraId="2498EE1E" w14:textId="77777777" w:rsidR="00B268FE" w:rsidRPr="00B268FE" w:rsidRDefault="00B268FE" w:rsidP="006C4C35">
      <w:pPr>
        <w:pStyle w:val="ListParagraph"/>
        <w:numPr>
          <w:ilvl w:val="0"/>
          <w:numId w:val="24"/>
        </w:numPr>
        <w:rPr>
          <w:color w:val="000000"/>
        </w:rPr>
      </w:pPr>
      <w:r w:rsidRPr="00B268FE">
        <w:rPr>
          <w:color w:val="000000"/>
        </w:rPr>
        <w:t>Welfare Reform Team and Advice Agency Support</w:t>
      </w:r>
    </w:p>
    <w:p w14:paraId="19F3B09E" w14:textId="77777777" w:rsidR="00D21162" w:rsidRDefault="00D21162" w:rsidP="00D21162">
      <w:pPr>
        <w:spacing w:after="120"/>
        <w:ind w:left="720" w:right="386"/>
        <w:jc w:val="both"/>
        <w:rPr>
          <w:highlight w:val="yellow"/>
        </w:rPr>
      </w:pPr>
    </w:p>
    <w:p w14:paraId="6AC4ACCE" w14:textId="77777777" w:rsidR="008D6AFC" w:rsidRDefault="00D21162" w:rsidP="008D6AFC">
      <w:pPr>
        <w:spacing w:after="120"/>
        <w:ind w:right="386" w:firstLine="720"/>
        <w:jc w:val="both"/>
      </w:pPr>
      <w:r w:rsidRPr="00D21162">
        <w:t>In total the cost of maintaining these service</w:t>
      </w:r>
      <w:r w:rsidR="001C62B8">
        <w:t>s</w:t>
      </w:r>
      <w:r w:rsidRPr="00D21162">
        <w:t xml:space="preserve"> is around £</w:t>
      </w:r>
      <w:r>
        <w:t>5</w:t>
      </w:r>
      <w:r w:rsidRPr="00D21162">
        <w:t xml:space="preserve"> million per annum. </w:t>
      </w:r>
    </w:p>
    <w:p w14:paraId="6648ACF6" w14:textId="77777777" w:rsidR="00D14370" w:rsidRDefault="00D14370" w:rsidP="008D6AFC">
      <w:pPr>
        <w:spacing w:after="120"/>
        <w:ind w:right="386" w:firstLine="720"/>
        <w:jc w:val="both"/>
      </w:pPr>
    </w:p>
    <w:p w14:paraId="0D203D66" w14:textId="77777777" w:rsidR="00D14370" w:rsidRDefault="00D14370" w:rsidP="008D6AFC">
      <w:pPr>
        <w:spacing w:after="120"/>
        <w:ind w:right="386" w:firstLine="720"/>
        <w:jc w:val="both"/>
      </w:pPr>
    </w:p>
    <w:p w14:paraId="28E03857" w14:textId="77777777" w:rsidR="00D14370" w:rsidRDefault="00D14370" w:rsidP="008D6AFC">
      <w:pPr>
        <w:spacing w:after="120"/>
        <w:ind w:right="386" w:firstLine="720"/>
        <w:jc w:val="both"/>
      </w:pPr>
    </w:p>
    <w:p w14:paraId="3CDE239E" w14:textId="77777777" w:rsidR="00D14370" w:rsidRDefault="00D14370" w:rsidP="008D6AFC">
      <w:pPr>
        <w:spacing w:after="120"/>
        <w:ind w:right="386" w:firstLine="720"/>
        <w:jc w:val="both"/>
      </w:pPr>
    </w:p>
    <w:p w14:paraId="7B542038" w14:textId="16264071" w:rsidR="00B8025B" w:rsidRPr="008D6AFC" w:rsidRDefault="00B8025B" w:rsidP="008D6AFC">
      <w:pPr>
        <w:spacing w:after="120"/>
        <w:ind w:right="386"/>
        <w:jc w:val="both"/>
      </w:pPr>
      <w:r w:rsidRPr="00B10BBA">
        <w:rPr>
          <w:b/>
          <w:color w:val="000000"/>
          <w:lang w:eastAsia="en-GB"/>
        </w:rPr>
        <w:t>Universal Credit</w:t>
      </w:r>
    </w:p>
    <w:p w14:paraId="6564FBC7" w14:textId="77777777" w:rsidR="00592064" w:rsidRDefault="00F254C7" w:rsidP="00B8025B">
      <w:pPr>
        <w:ind w:left="567" w:hanging="567"/>
        <w:rPr>
          <w:color w:val="000000"/>
        </w:rPr>
      </w:pPr>
      <w:r>
        <w:rPr>
          <w:color w:val="000000"/>
        </w:rPr>
        <w:t>35</w:t>
      </w:r>
      <w:r>
        <w:rPr>
          <w:color w:val="000000"/>
        </w:rPr>
        <w:tab/>
      </w:r>
      <w:r w:rsidR="002520CC">
        <w:rPr>
          <w:color w:val="000000"/>
        </w:rPr>
        <w:t>The roll out of universal credit commenced in Oxford on 18</w:t>
      </w:r>
      <w:r w:rsidR="002520CC" w:rsidRPr="002520CC">
        <w:rPr>
          <w:color w:val="000000"/>
          <w:vertAlign w:val="superscript"/>
        </w:rPr>
        <w:t>th</w:t>
      </w:r>
      <w:r w:rsidR="002520CC">
        <w:rPr>
          <w:color w:val="000000"/>
        </w:rPr>
        <w:t xml:space="preserve"> October 2017 for all working age claimants replacing a number of existing benefits and tax credits.</w:t>
      </w:r>
      <w:r w:rsidR="005D2012" w:rsidRPr="005D2012">
        <w:rPr>
          <w:color w:val="000000"/>
        </w:rPr>
        <w:t xml:space="preserve"> </w:t>
      </w:r>
      <w:r w:rsidR="005D2012">
        <w:rPr>
          <w:color w:val="000000"/>
        </w:rPr>
        <w:t xml:space="preserve">Full roll out to all claimants is likely to take until 2022. </w:t>
      </w:r>
      <w:r w:rsidR="002520CC">
        <w:rPr>
          <w:color w:val="000000"/>
        </w:rPr>
        <w:t xml:space="preserve"> </w:t>
      </w:r>
    </w:p>
    <w:p w14:paraId="6E1BEFCF" w14:textId="77777777" w:rsidR="00592064" w:rsidRDefault="00592064" w:rsidP="00B8025B">
      <w:pPr>
        <w:ind w:left="567" w:hanging="567"/>
        <w:rPr>
          <w:color w:val="000000"/>
        </w:rPr>
      </w:pPr>
    </w:p>
    <w:p w14:paraId="40CBD554" w14:textId="77777777" w:rsidR="005D2012" w:rsidRDefault="00F254C7" w:rsidP="00F254C7">
      <w:pPr>
        <w:ind w:left="567" w:hanging="567"/>
        <w:rPr>
          <w:color w:val="000000"/>
        </w:rPr>
      </w:pPr>
      <w:r>
        <w:rPr>
          <w:color w:val="000000"/>
        </w:rPr>
        <w:t>36</w:t>
      </w:r>
      <w:r>
        <w:rPr>
          <w:color w:val="000000"/>
        </w:rPr>
        <w:tab/>
      </w:r>
      <w:r w:rsidR="002520CC">
        <w:rPr>
          <w:color w:val="000000"/>
        </w:rPr>
        <w:t>On 16</w:t>
      </w:r>
      <w:r w:rsidR="002520CC" w:rsidRPr="002520CC">
        <w:rPr>
          <w:color w:val="000000"/>
          <w:vertAlign w:val="superscript"/>
        </w:rPr>
        <w:t>th</w:t>
      </w:r>
      <w:r w:rsidR="002520CC">
        <w:rPr>
          <w:color w:val="000000"/>
        </w:rPr>
        <w:t xml:space="preserve"> October the Council</w:t>
      </w:r>
      <w:r w:rsidR="0051141A">
        <w:rPr>
          <w:color w:val="000000"/>
        </w:rPr>
        <w:t>’</w:t>
      </w:r>
      <w:r w:rsidR="002520CC">
        <w:rPr>
          <w:color w:val="000000"/>
        </w:rPr>
        <w:t xml:space="preserve">s City Executive Board agreed a </w:t>
      </w:r>
      <w:r w:rsidR="00747462">
        <w:rPr>
          <w:color w:val="000000"/>
        </w:rPr>
        <w:t xml:space="preserve">one off </w:t>
      </w:r>
      <w:r w:rsidR="002520CC">
        <w:rPr>
          <w:color w:val="000000"/>
        </w:rPr>
        <w:t xml:space="preserve">hardship fund </w:t>
      </w:r>
      <w:r w:rsidR="00747462">
        <w:rPr>
          <w:color w:val="000000"/>
        </w:rPr>
        <w:t xml:space="preserve">in 2017-18 </w:t>
      </w:r>
      <w:r w:rsidR="002520CC">
        <w:rPr>
          <w:color w:val="000000"/>
        </w:rPr>
        <w:t xml:space="preserve">of £50k </w:t>
      </w:r>
      <w:r w:rsidR="00747462">
        <w:rPr>
          <w:color w:val="000000"/>
        </w:rPr>
        <w:t xml:space="preserve">to mitigate the expected </w:t>
      </w:r>
      <w:r w:rsidR="00D26587">
        <w:rPr>
          <w:color w:val="000000"/>
        </w:rPr>
        <w:t xml:space="preserve">6 week delay in the </w:t>
      </w:r>
      <w:r w:rsidR="005D2012">
        <w:rPr>
          <w:color w:val="000000"/>
        </w:rPr>
        <w:t>processing of claim</w:t>
      </w:r>
      <w:r w:rsidR="00D26587">
        <w:rPr>
          <w:color w:val="000000"/>
        </w:rPr>
        <w:t>s by DWP</w:t>
      </w:r>
      <w:r w:rsidR="005D2012">
        <w:rPr>
          <w:color w:val="000000"/>
        </w:rPr>
        <w:t>.</w:t>
      </w:r>
    </w:p>
    <w:p w14:paraId="66C3DE8A" w14:textId="77777777" w:rsidR="00747462" w:rsidRDefault="00747462" w:rsidP="00F254C7">
      <w:pPr>
        <w:ind w:left="567" w:hanging="567"/>
        <w:rPr>
          <w:color w:val="000000"/>
        </w:rPr>
      </w:pPr>
    </w:p>
    <w:p w14:paraId="033D4AF9" w14:textId="77777777" w:rsidR="00D26587" w:rsidRPr="00EE6A4D" w:rsidRDefault="00D26587" w:rsidP="00D26587">
      <w:pPr>
        <w:ind w:left="567" w:hanging="567"/>
        <w:rPr>
          <w:color w:val="000000"/>
        </w:rPr>
      </w:pPr>
      <w:r>
        <w:rPr>
          <w:color w:val="000000"/>
        </w:rPr>
        <w:t>37</w:t>
      </w:r>
      <w:r>
        <w:rPr>
          <w:color w:val="000000"/>
        </w:rPr>
        <w:tab/>
      </w:r>
      <w:r w:rsidRPr="00EE6A4D">
        <w:rPr>
          <w:color w:val="000000"/>
        </w:rPr>
        <w:t>The recent Autumn Budget announced the following changes to Universal credit:</w:t>
      </w:r>
    </w:p>
    <w:p w14:paraId="6171E914" w14:textId="77777777" w:rsidR="00D26587" w:rsidRPr="00EE6A4D" w:rsidRDefault="00D26587" w:rsidP="00D26587">
      <w:pPr>
        <w:ind w:left="567" w:hanging="567"/>
        <w:rPr>
          <w:color w:val="000000"/>
        </w:rPr>
      </w:pPr>
    </w:p>
    <w:p w14:paraId="6A078E11" w14:textId="77777777" w:rsidR="00D26587" w:rsidRPr="00EE6A4D" w:rsidRDefault="00D26587" w:rsidP="00D26587">
      <w:pPr>
        <w:pStyle w:val="ListParagraph"/>
        <w:numPr>
          <w:ilvl w:val="0"/>
          <w:numId w:val="31"/>
        </w:numPr>
        <w:rPr>
          <w:rStyle w:val="Strong"/>
          <w:rFonts w:cs="Arial"/>
          <w:bCs w:val="0"/>
          <w:color w:val="000000"/>
        </w:rPr>
      </w:pPr>
      <w:r w:rsidRPr="00EE6A4D">
        <w:rPr>
          <w:rStyle w:val="Strong"/>
          <w:rFonts w:cs="Arial"/>
          <w:b w:val="0"/>
          <w:color w:val="333333"/>
          <w:lang w:val="en"/>
        </w:rPr>
        <w:t>The standard wait for universal credit claimants to get their first benefit payment will be cut from six to five weeks from February</w:t>
      </w:r>
    </w:p>
    <w:p w14:paraId="3EE1FEF0" w14:textId="77777777" w:rsidR="00D26587" w:rsidRPr="00EE6A4D" w:rsidRDefault="00D26587" w:rsidP="00D26587">
      <w:pPr>
        <w:pStyle w:val="ListParagraph"/>
        <w:numPr>
          <w:ilvl w:val="0"/>
          <w:numId w:val="31"/>
        </w:numPr>
        <w:rPr>
          <w:rFonts w:cs="Arial"/>
          <w:b/>
          <w:color w:val="000000"/>
        </w:rPr>
      </w:pPr>
      <w:r w:rsidRPr="00EE6A4D">
        <w:rPr>
          <w:rFonts w:cs="Arial"/>
          <w:color w:val="333333"/>
          <w:lang w:val="en"/>
        </w:rPr>
        <w:t>Anyone claiming universal credit for the first time who previously got housing benefit will continue to receive housing benefit for another two weeks after their application, from April. Right now, the benefit stops and a claimant doesn't get anything until their universal credit begins</w:t>
      </w:r>
    </w:p>
    <w:p w14:paraId="7EFE1214" w14:textId="77777777" w:rsidR="00D26587" w:rsidRPr="00EE6A4D" w:rsidRDefault="00D26587" w:rsidP="00D26587">
      <w:pPr>
        <w:pStyle w:val="ListParagraph"/>
        <w:numPr>
          <w:ilvl w:val="0"/>
          <w:numId w:val="31"/>
        </w:numPr>
        <w:rPr>
          <w:rFonts w:cs="Arial"/>
          <w:b/>
          <w:color w:val="000000"/>
        </w:rPr>
      </w:pPr>
      <w:r w:rsidRPr="00EE6A4D">
        <w:rPr>
          <w:rFonts w:cs="Arial"/>
          <w:color w:val="333333"/>
          <w:lang w:val="en"/>
        </w:rPr>
        <w:t>People struggling financially can from January also get a full month's advance payment within five days of applying. The current advance is just half a month's.</w:t>
      </w:r>
    </w:p>
    <w:p w14:paraId="740881BF" w14:textId="77777777" w:rsidR="00D26587" w:rsidRDefault="00D26587" w:rsidP="00F254C7">
      <w:pPr>
        <w:ind w:left="567" w:hanging="567"/>
        <w:rPr>
          <w:color w:val="000000"/>
        </w:rPr>
      </w:pPr>
    </w:p>
    <w:p w14:paraId="05667F97" w14:textId="0D442500" w:rsidR="00747462" w:rsidRDefault="00D26587" w:rsidP="00F254C7">
      <w:pPr>
        <w:ind w:left="567" w:hanging="567"/>
        <w:rPr>
          <w:color w:val="000000"/>
        </w:rPr>
      </w:pPr>
      <w:r>
        <w:rPr>
          <w:color w:val="000000"/>
        </w:rPr>
        <w:t>38</w:t>
      </w:r>
      <w:r>
        <w:rPr>
          <w:color w:val="000000"/>
        </w:rPr>
        <w:tab/>
        <w:t xml:space="preserve">As a result of the changes the Council have </w:t>
      </w:r>
      <w:r w:rsidR="00FB2B58">
        <w:rPr>
          <w:color w:val="000000"/>
        </w:rPr>
        <w:t xml:space="preserve">proposed an annual budget of </w:t>
      </w:r>
      <w:r>
        <w:rPr>
          <w:color w:val="000000"/>
        </w:rPr>
        <w:t>£25k</w:t>
      </w:r>
      <w:r w:rsidR="00FB2B58">
        <w:rPr>
          <w:color w:val="000000"/>
        </w:rPr>
        <w:t xml:space="preserve"> for a hardship scheme.</w:t>
      </w:r>
    </w:p>
    <w:p w14:paraId="4839796E" w14:textId="77777777" w:rsidR="005D2012" w:rsidRDefault="005D2012" w:rsidP="00B8025B">
      <w:pPr>
        <w:ind w:left="567" w:hanging="567"/>
        <w:rPr>
          <w:color w:val="000000"/>
        </w:rPr>
      </w:pPr>
      <w:r>
        <w:rPr>
          <w:color w:val="000000"/>
        </w:rPr>
        <w:t xml:space="preserve"> </w:t>
      </w:r>
    </w:p>
    <w:p w14:paraId="5FF445EE" w14:textId="27EC194D" w:rsidR="00B8025B" w:rsidRDefault="00D26587" w:rsidP="00B8025B">
      <w:pPr>
        <w:ind w:left="567" w:hanging="567"/>
        <w:rPr>
          <w:color w:val="000000"/>
        </w:rPr>
      </w:pPr>
      <w:r>
        <w:rPr>
          <w:color w:val="000000"/>
        </w:rPr>
        <w:t>39</w:t>
      </w:r>
      <w:r w:rsidR="00F254C7">
        <w:rPr>
          <w:color w:val="000000"/>
        </w:rPr>
        <w:tab/>
      </w:r>
      <w:r w:rsidR="0051141A">
        <w:rPr>
          <w:color w:val="000000"/>
        </w:rPr>
        <w:t>T</w:t>
      </w:r>
      <w:r w:rsidR="00B8025B">
        <w:rPr>
          <w:color w:val="000000"/>
        </w:rPr>
        <w:t xml:space="preserve">he </w:t>
      </w:r>
      <w:r w:rsidR="00FB2B58">
        <w:rPr>
          <w:color w:val="000000"/>
        </w:rPr>
        <w:t>MTFS</w:t>
      </w:r>
      <w:r w:rsidR="00B8025B">
        <w:rPr>
          <w:color w:val="000000"/>
        </w:rPr>
        <w:t xml:space="preserve"> makes provision for </w:t>
      </w:r>
      <w:r w:rsidR="0051141A">
        <w:rPr>
          <w:color w:val="000000"/>
        </w:rPr>
        <w:t xml:space="preserve">service </w:t>
      </w:r>
      <w:r w:rsidR="00B8025B">
        <w:rPr>
          <w:color w:val="000000"/>
        </w:rPr>
        <w:t>changes arising from Universal Credit</w:t>
      </w:r>
      <w:r w:rsidR="0051141A">
        <w:rPr>
          <w:color w:val="000000"/>
        </w:rPr>
        <w:t xml:space="preserve"> as follows:</w:t>
      </w:r>
      <w:r w:rsidR="00592064">
        <w:rPr>
          <w:color w:val="000000"/>
        </w:rPr>
        <w:t xml:space="preserve"> </w:t>
      </w:r>
      <w:r w:rsidR="0051141A">
        <w:rPr>
          <w:color w:val="000000"/>
        </w:rPr>
        <w:t>i</w:t>
      </w:r>
      <w:r w:rsidR="00592064">
        <w:rPr>
          <w:color w:val="000000"/>
        </w:rPr>
        <w:t xml:space="preserve">t is expected that Housing Benefit Admin Grant will reduce by around £383k over the life of the </w:t>
      </w:r>
      <w:r w:rsidR="00FB2B58">
        <w:rPr>
          <w:color w:val="000000"/>
        </w:rPr>
        <w:t>MTFS</w:t>
      </w:r>
      <w:r w:rsidR="00592064">
        <w:rPr>
          <w:color w:val="000000"/>
        </w:rPr>
        <w:t xml:space="preserve">. Savings in Housing Benefit staff of £240k per annum have been factored in as </w:t>
      </w:r>
      <w:r w:rsidR="0051141A">
        <w:rPr>
          <w:color w:val="000000"/>
        </w:rPr>
        <w:t>the H</w:t>
      </w:r>
      <w:r w:rsidR="00592064">
        <w:rPr>
          <w:color w:val="000000"/>
        </w:rPr>
        <w:t xml:space="preserve">ousing </w:t>
      </w:r>
      <w:r w:rsidR="0051141A">
        <w:rPr>
          <w:color w:val="000000"/>
        </w:rPr>
        <w:t>B</w:t>
      </w:r>
      <w:r w:rsidR="00592064">
        <w:rPr>
          <w:color w:val="000000"/>
        </w:rPr>
        <w:t>enefit caseload transfers to Universal Credit.</w:t>
      </w:r>
      <w:r w:rsidR="00B8025B">
        <w:rPr>
          <w:color w:val="000000"/>
        </w:rPr>
        <w:t xml:space="preserve"> </w:t>
      </w:r>
      <w:r w:rsidR="0051141A">
        <w:rPr>
          <w:color w:val="000000"/>
        </w:rPr>
        <w:t xml:space="preserve">Confirmation of grant levels are </w:t>
      </w:r>
      <w:r w:rsidR="007808FE">
        <w:rPr>
          <w:color w:val="000000"/>
        </w:rPr>
        <w:t xml:space="preserve">expected in January 2018 </w:t>
      </w:r>
      <w:r w:rsidR="00747462">
        <w:rPr>
          <w:color w:val="000000"/>
        </w:rPr>
        <w:t xml:space="preserve">and </w:t>
      </w:r>
      <w:r w:rsidR="00B8025B">
        <w:rPr>
          <w:color w:val="000000"/>
        </w:rPr>
        <w:t>assumptions</w:t>
      </w:r>
      <w:r w:rsidR="0064311E">
        <w:rPr>
          <w:color w:val="000000"/>
        </w:rPr>
        <w:t xml:space="preserve"> </w:t>
      </w:r>
      <w:r w:rsidR="00B8025B">
        <w:rPr>
          <w:color w:val="000000"/>
        </w:rPr>
        <w:t xml:space="preserve">will be updated </w:t>
      </w:r>
      <w:r w:rsidR="0064311E">
        <w:rPr>
          <w:color w:val="000000"/>
        </w:rPr>
        <w:t xml:space="preserve">as necessary </w:t>
      </w:r>
      <w:r w:rsidR="00B8025B">
        <w:rPr>
          <w:color w:val="000000"/>
        </w:rPr>
        <w:t>in the February Budget report.</w:t>
      </w:r>
    </w:p>
    <w:p w14:paraId="392B948D" w14:textId="77777777" w:rsidR="00CE0C1F" w:rsidRDefault="00CE0C1F" w:rsidP="00B8025B">
      <w:pPr>
        <w:ind w:left="567" w:hanging="567"/>
        <w:rPr>
          <w:color w:val="000000"/>
        </w:rPr>
      </w:pPr>
    </w:p>
    <w:p w14:paraId="57EEBDF0" w14:textId="39CD6C84" w:rsidR="00D3287B" w:rsidRPr="008D6AFC" w:rsidRDefault="00D3287B" w:rsidP="008D6AFC">
      <w:pPr>
        <w:spacing w:before="240" w:after="120"/>
        <w:outlineLvl w:val="0"/>
        <w:rPr>
          <w:b/>
          <w:color w:val="000000"/>
          <w:lang w:eastAsia="en-GB"/>
        </w:rPr>
      </w:pPr>
      <w:r w:rsidRPr="008D6AFC">
        <w:rPr>
          <w:b/>
          <w:color w:val="000000"/>
          <w:lang w:eastAsia="en-GB"/>
        </w:rPr>
        <w:t>Council Tax Support</w:t>
      </w:r>
    </w:p>
    <w:p w14:paraId="7CF97C6C" w14:textId="77777777" w:rsidR="00894B8A" w:rsidRDefault="00D26587" w:rsidP="00D26587">
      <w:pPr>
        <w:ind w:left="567" w:hanging="567"/>
        <w:rPr>
          <w:color w:val="000000"/>
        </w:rPr>
      </w:pPr>
      <w:r>
        <w:t>40</w:t>
      </w:r>
      <w:r w:rsidR="00D3287B" w:rsidRPr="00686851">
        <w:tab/>
      </w:r>
      <w:r w:rsidR="00D3287B" w:rsidRPr="00686851">
        <w:rPr>
          <w:color w:val="000000"/>
        </w:rPr>
        <w:t>At the City Executive Board on 1</w:t>
      </w:r>
      <w:r w:rsidR="006B545E">
        <w:rPr>
          <w:color w:val="000000"/>
        </w:rPr>
        <w:t>8</w:t>
      </w:r>
      <w:r w:rsidR="00D3287B" w:rsidRPr="00686851">
        <w:rPr>
          <w:color w:val="000000"/>
        </w:rPr>
        <w:t xml:space="preserve">th </w:t>
      </w:r>
      <w:r w:rsidR="006B545E">
        <w:rPr>
          <w:color w:val="000000"/>
        </w:rPr>
        <w:t>July</w:t>
      </w:r>
      <w:r w:rsidR="00D3287B" w:rsidRPr="00686851">
        <w:rPr>
          <w:color w:val="000000"/>
        </w:rPr>
        <w:t xml:space="preserve"> 201</w:t>
      </w:r>
      <w:r w:rsidR="006B545E">
        <w:rPr>
          <w:color w:val="000000"/>
        </w:rPr>
        <w:t>7</w:t>
      </w:r>
      <w:r w:rsidR="00D3287B" w:rsidRPr="00686851">
        <w:rPr>
          <w:color w:val="000000"/>
        </w:rPr>
        <w:t xml:space="preserve"> members </w:t>
      </w:r>
      <w:r w:rsidR="006B545E">
        <w:rPr>
          <w:color w:val="000000"/>
        </w:rPr>
        <w:t xml:space="preserve">considered proposals to consult on changes to the </w:t>
      </w:r>
      <w:r w:rsidR="00D3287B" w:rsidRPr="00686851">
        <w:rPr>
          <w:color w:val="000000"/>
        </w:rPr>
        <w:t>existing Council Tax Reduction Scheme introduced on 1st April 2013. It is estimated the scheme will cost the Council £</w:t>
      </w:r>
      <w:r w:rsidR="006B545E">
        <w:rPr>
          <w:color w:val="000000"/>
        </w:rPr>
        <w:t>1.2 million</w:t>
      </w:r>
      <w:r w:rsidR="00D3287B" w:rsidRPr="00686851">
        <w:rPr>
          <w:color w:val="000000"/>
        </w:rPr>
        <w:t xml:space="preserve"> in 201</w:t>
      </w:r>
      <w:r w:rsidR="006B545E">
        <w:rPr>
          <w:color w:val="000000"/>
        </w:rPr>
        <w:t>7</w:t>
      </w:r>
      <w:r w:rsidR="00D3287B" w:rsidRPr="00686851">
        <w:rPr>
          <w:color w:val="000000"/>
        </w:rPr>
        <w:t>/1</w:t>
      </w:r>
      <w:r w:rsidR="006B545E">
        <w:rPr>
          <w:color w:val="000000"/>
        </w:rPr>
        <w:t>8</w:t>
      </w:r>
      <w:r w:rsidR="00D3287B" w:rsidRPr="00686851">
        <w:rPr>
          <w:color w:val="000000"/>
        </w:rPr>
        <w:t xml:space="preserve"> </w:t>
      </w:r>
      <w:r w:rsidR="00B8025B">
        <w:rPr>
          <w:color w:val="000000"/>
        </w:rPr>
        <w:t>rising to £1</w:t>
      </w:r>
      <w:r w:rsidR="00D3287B" w:rsidRPr="00686851">
        <w:rPr>
          <w:color w:val="000000"/>
        </w:rPr>
        <w:t>.</w:t>
      </w:r>
      <w:r w:rsidR="006B545E">
        <w:rPr>
          <w:color w:val="000000"/>
        </w:rPr>
        <w:t>8</w:t>
      </w:r>
      <w:r w:rsidR="00DC19C5">
        <w:rPr>
          <w:color w:val="000000"/>
        </w:rPr>
        <w:t xml:space="preserve"> mil</w:t>
      </w:r>
      <w:r w:rsidR="00D3287B" w:rsidRPr="00686851">
        <w:rPr>
          <w:color w:val="000000"/>
        </w:rPr>
        <w:t>lion from 1/4/2019.</w:t>
      </w:r>
      <w:r w:rsidR="00894B8A">
        <w:rPr>
          <w:color w:val="000000"/>
        </w:rPr>
        <w:t xml:space="preserve"> </w:t>
      </w:r>
      <w:r w:rsidR="009136C2">
        <w:t>Most local authorities have reduced the support available in order to reduce the cost of the scheme. Oxford is one of only 37 authorities who have not reduced the support available</w:t>
      </w:r>
      <w:r>
        <w:t>.</w:t>
      </w:r>
      <w:r w:rsidR="009136C2">
        <w:rPr>
          <w:color w:val="000000"/>
        </w:rPr>
        <w:t xml:space="preserve"> </w:t>
      </w:r>
    </w:p>
    <w:p w14:paraId="0A272C14" w14:textId="77777777" w:rsidR="00894B8A" w:rsidRDefault="00894B8A" w:rsidP="00894B8A">
      <w:pPr>
        <w:rPr>
          <w:color w:val="000000"/>
        </w:rPr>
      </w:pPr>
    </w:p>
    <w:p w14:paraId="1BD2C406" w14:textId="77777777" w:rsidR="00894B8A" w:rsidRPr="00894B8A" w:rsidRDefault="002F59E6" w:rsidP="00894B8A">
      <w:pPr>
        <w:ind w:left="567" w:hanging="567"/>
        <w:rPr>
          <w:color w:val="000000"/>
        </w:rPr>
      </w:pPr>
      <w:r>
        <w:rPr>
          <w:color w:val="000000"/>
        </w:rPr>
        <w:t>41</w:t>
      </w:r>
      <w:r w:rsidR="00894B8A">
        <w:rPr>
          <w:color w:val="000000"/>
        </w:rPr>
        <w:tab/>
      </w:r>
      <w:r w:rsidR="0064311E">
        <w:rPr>
          <w:color w:val="000000"/>
        </w:rPr>
        <w:t>The City Executive Board</w:t>
      </w:r>
      <w:r w:rsidR="00894B8A">
        <w:rPr>
          <w:color w:val="000000"/>
        </w:rPr>
        <w:t xml:space="preserve"> will receive the results of the consultation </w:t>
      </w:r>
      <w:r w:rsidR="00451EFE">
        <w:rPr>
          <w:color w:val="000000"/>
        </w:rPr>
        <w:t xml:space="preserve">on the proposed </w:t>
      </w:r>
      <w:r w:rsidR="008D6BB4">
        <w:rPr>
          <w:color w:val="000000"/>
        </w:rPr>
        <w:t xml:space="preserve">changes </w:t>
      </w:r>
      <w:r w:rsidR="00894B8A">
        <w:rPr>
          <w:color w:val="000000"/>
        </w:rPr>
        <w:t xml:space="preserve">and </w:t>
      </w:r>
      <w:r w:rsidR="0064311E">
        <w:rPr>
          <w:color w:val="000000"/>
        </w:rPr>
        <w:t xml:space="preserve">a </w:t>
      </w:r>
      <w:r w:rsidR="00894B8A">
        <w:rPr>
          <w:color w:val="000000"/>
        </w:rPr>
        <w:t>revised</w:t>
      </w:r>
      <w:r w:rsidR="008D6BB4">
        <w:rPr>
          <w:color w:val="000000"/>
        </w:rPr>
        <w:t xml:space="preserve"> scheme</w:t>
      </w:r>
      <w:r w:rsidR="00894B8A">
        <w:rPr>
          <w:color w:val="000000"/>
        </w:rPr>
        <w:t xml:space="preserve"> at their meeting in December.</w:t>
      </w:r>
    </w:p>
    <w:p w14:paraId="7FB6DBF7" w14:textId="77777777" w:rsidR="00D3287B" w:rsidRDefault="00D3287B" w:rsidP="00A03380">
      <w:pPr>
        <w:ind w:left="567" w:hanging="567"/>
        <w:rPr>
          <w:color w:val="000000"/>
        </w:rPr>
      </w:pPr>
    </w:p>
    <w:p w14:paraId="25217F01" w14:textId="378D10E2" w:rsidR="009912B9" w:rsidRPr="009912B9" w:rsidRDefault="009912B9" w:rsidP="008D6AFC">
      <w:pPr>
        <w:spacing w:before="240" w:after="120"/>
        <w:outlineLvl w:val="0"/>
        <w:rPr>
          <w:b/>
          <w:color w:val="000000"/>
          <w:lang w:eastAsia="en-GB"/>
        </w:rPr>
      </w:pPr>
      <w:r w:rsidRPr="009912B9">
        <w:rPr>
          <w:b/>
          <w:color w:val="000000"/>
          <w:lang w:eastAsia="en-GB"/>
        </w:rPr>
        <w:t>Homelessness</w:t>
      </w:r>
    </w:p>
    <w:p w14:paraId="11120EFA" w14:textId="77777777" w:rsidR="009912B9" w:rsidRDefault="002F59E6" w:rsidP="00F254C7">
      <w:pPr>
        <w:ind w:left="567" w:hanging="567"/>
        <w:rPr>
          <w:rFonts w:cs="Arial"/>
          <w:bCs/>
        </w:rPr>
      </w:pPr>
      <w:r>
        <w:rPr>
          <w:rFonts w:cs="Arial"/>
          <w:bCs/>
        </w:rPr>
        <w:t>42</w:t>
      </w:r>
      <w:r w:rsidR="00F254C7">
        <w:rPr>
          <w:rFonts w:cs="Arial"/>
          <w:bCs/>
        </w:rPr>
        <w:tab/>
      </w:r>
      <w:r w:rsidR="00DD6EA8">
        <w:rPr>
          <w:rFonts w:cs="Arial"/>
          <w:bCs/>
        </w:rPr>
        <w:t xml:space="preserve">Oxford City Council has provided circa £1.4m of funding for rough sleeping and single homelessness commissioning for many years.  This has been comprised of the Council’s allocation of Preventing Homelessness Grant (PHG), </w:t>
      </w:r>
      <w:r w:rsidR="00D26587">
        <w:rPr>
          <w:rFonts w:cs="Arial"/>
          <w:bCs/>
        </w:rPr>
        <w:t>which</w:t>
      </w:r>
      <w:r w:rsidR="00DD6EA8">
        <w:rPr>
          <w:rFonts w:cs="Arial"/>
          <w:bCs/>
        </w:rPr>
        <w:t xml:space="preserve"> the Council</w:t>
      </w:r>
      <w:r w:rsidR="00D26587">
        <w:rPr>
          <w:rFonts w:cs="Arial"/>
          <w:bCs/>
        </w:rPr>
        <w:t xml:space="preserve"> is</w:t>
      </w:r>
      <w:r w:rsidR="00DD6EA8">
        <w:rPr>
          <w:rFonts w:cs="Arial"/>
          <w:bCs/>
        </w:rPr>
        <w:t xml:space="preserve"> continuing to fund this despite the Government reduction in grant of £956k in 2016-17. In addition the Council allocates part of its grants programme (approx. £442k pa) to fund initiatives such as the street outreach team (currently provided by St </w:t>
      </w:r>
      <w:proofErr w:type="spellStart"/>
      <w:r w:rsidR="00DD6EA8">
        <w:rPr>
          <w:rFonts w:cs="Arial"/>
          <w:bCs/>
        </w:rPr>
        <w:t>Mungos</w:t>
      </w:r>
      <w:proofErr w:type="spellEnd"/>
      <w:r w:rsidR="00DD6EA8">
        <w:rPr>
          <w:rFonts w:cs="Arial"/>
          <w:bCs/>
        </w:rPr>
        <w:t>), day Centre provision; prevention activity; in-reach and other wrap around services</w:t>
      </w:r>
    </w:p>
    <w:p w14:paraId="7CD5367A" w14:textId="77777777" w:rsidR="00DD6EA8" w:rsidRDefault="00DD6EA8" w:rsidP="00DD6EA8">
      <w:pPr>
        <w:ind w:left="567"/>
        <w:rPr>
          <w:rFonts w:cs="Arial"/>
          <w:bCs/>
        </w:rPr>
      </w:pPr>
    </w:p>
    <w:p w14:paraId="1A97E63A" w14:textId="77777777" w:rsidR="00DD6EA8" w:rsidRDefault="002F59E6" w:rsidP="00F254C7">
      <w:pPr>
        <w:ind w:left="567" w:hanging="567"/>
        <w:rPr>
          <w:rFonts w:cs="Arial"/>
          <w:bCs/>
        </w:rPr>
      </w:pPr>
      <w:r>
        <w:rPr>
          <w:rFonts w:cs="Arial"/>
          <w:bCs/>
        </w:rPr>
        <w:t>43</w:t>
      </w:r>
      <w:r w:rsidR="00F254C7">
        <w:rPr>
          <w:rFonts w:cs="Arial"/>
          <w:bCs/>
        </w:rPr>
        <w:tab/>
      </w:r>
      <w:r w:rsidR="00DD6EA8">
        <w:rPr>
          <w:rFonts w:cs="Arial"/>
          <w:bCs/>
        </w:rPr>
        <w:t>Oxford has large numbers of rough sleepers.  Over 300 people a year (more than 25 per month) fall into rough sleeping, and at the last street count (</w:t>
      </w:r>
      <w:r w:rsidR="00A32C96">
        <w:rPr>
          <w:rFonts w:cs="Arial"/>
          <w:bCs/>
        </w:rPr>
        <w:t>Nov</w:t>
      </w:r>
      <w:r w:rsidR="00DD6EA8">
        <w:rPr>
          <w:rFonts w:cs="Arial"/>
          <w:bCs/>
        </w:rPr>
        <w:t xml:space="preserve"> 17) the Council recorded </w:t>
      </w:r>
      <w:r w:rsidR="00A32C96">
        <w:rPr>
          <w:rFonts w:cs="Arial"/>
          <w:bCs/>
        </w:rPr>
        <w:t>61</w:t>
      </w:r>
      <w:r w:rsidR="00DD6EA8">
        <w:rPr>
          <w:rFonts w:cs="Arial"/>
          <w:bCs/>
        </w:rPr>
        <w:t xml:space="preserve"> people sleeping rough, the highest recorded figure for the City.  Austerity, Welfare Reform changes, the unaffordability of the local housing market, and </w:t>
      </w:r>
      <w:r w:rsidR="00FB2B58">
        <w:rPr>
          <w:rFonts w:cs="Arial"/>
          <w:bCs/>
        </w:rPr>
        <w:t xml:space="preserve">the </w:t>
      </w:r>
      <w:r w:rsidR="00DD6EA8">
        <w:rPr>
          <w:rFonts w:cs="Arial"/>
          <w:bCs/>
        </w:rPr>
        <w:t>young demographic of the city, all contribute to this pressure</w:t>
      </w:r>
    </w:p>
    <w:p w14:paraId="5067F4F1" w14:textId="77777777" w:rsidR="00DD6EA8" w:rsidRDefault="00DD6EA8" w:rsidP="00DD6EA8">
      <w:pPr>
        <w:ind w:left="567"/>
        <w:rPr>
          <w:rFonts w:cs="Arial"/>
          <w:bCs/>
        </w:rPr>
      </w:pPr>
    </w:p>
    <w:p w14:paraId="30C4954C" w14:textId="779F5BAE" w:rsidR="009912B9" w:rsidRPr="008D6AFC" w:rsidRDefault="002F59E6" w:rsidP="008D6AFC">
      <w:pPr>
        <w:ind w:left="567" w:hanging="567"/>
        <w:rPr>
          <w:color w:val="000000"/>
        </w:rPr>
      </w:pPr>
      <w:r>
        <w:rPr>
          <w:color w:val="000000"/>
        </w:rPr>
        <w:t>44</w:t>
      </w:r>
      <w:r w:rsidR="00F254C7">
        <w:rPr>
          <w:color w:val="000000"/>
        </w:rPr>
        <w:tab/>
      </w:r>
      <w:r w:rsidR="00DD6EA8">
        <w:rPr>
          <w:color w:val="000000"/>
        </w:rPr>
        <w:t xml:space="preserve">As the County Council withdraws funding </w:t>
      </w:r>
      <w:r w:rsidR="008209DF">
        <w:rPr>
          <w:color w:val="000000"/>
        </w:rPr>
        <w:t xml:space="preserve">for supported accommodation for homeless persons pressure will increase on the City Councils budget allocation for homelessness. </w:t>
      </w:r>
      <w:r w:rsidR="00FB2B58">
        <w:rPr>
          <w:color w:val="000000"/>
        </w:rPr>
        <w:t>The City Council proposes in this consultation budget to increase funding of homelessness services by £200k per annum from 2019/20 onwards, and will be making strong representations to the County Council and other agencies to match this commitment.</w:t>
      </w:r>
    </w:p>
    <w:p w14:paraId="00A05ED4" w14:textId="0DAB1709" w:rsidR="00B268FE" w:rsidRPr="003C1BBE" w:rsidRDefault="00592064" w:rsidP="008D6AFC">
      <w:pPr>
        <w:spacing w:before="240" w:after="120"/>
        <w:outlineLvl w:val="0"/>
        <w:rPr>
          <w:b/>
          <w:color w:val="000000"/>
          <w:lang w:eastAsia="en-GB"/>
        </w:rPr>
      </w:pPr>
      <w:r w:rsidRPr="003C1BBE">
        <w:rPr>
          <w:b/>
          <w:color w:val="000000"/>
          <w:lang w:eastAsia="en-GB"/>
        </w:rPr>
        <w:t>Concession</w:t>
      </w:r>
      <w:r w:rsidR="00CD1258">
        <w:rPr>
          <w:b/>
          <w:color w:val="000000"/>
          <w:lang w:eastAsia="en-GB"/>
        </w:rPr>
        <w:t>ary Charging</w:t>
      </w:r>
    </w:p>
    <w:p w14:paraId="236292CE" w14:textId="77777777" w:rsidR="008C162B" w:rsidRPr="003C1BBE" w:rsidRDefault="002F59E6" w:rsidP="00F254C7">
      <w:pPr>
        <w:ind w:left="567" w:hanging="567"/>
      </w:pPr>
      <w:r>
        <w:t>45</w:t>
      </w:r>
      <w:r w:rsidR="00F254C7">
        <w:tab/>
      </w:r>
      <w:r w:rsidR="000951D3">
        <w:t>Residents</w:t>
      </w:r>
      <w:r w:rsidR="008C162B" w:rsidRPr="003C1BBE">
        <w:t xml:space="preserve"> in receipt of means tested benefits </w:t>
      </w:r>
      <w:r w:rsidR="0057600B">
        <w:t>are eligible</w:t>
      </w:r>
      <w:r w:rsidR="008C162B" w:rsidRPr="003C1BBE">
        <w:t xml:space="preserve"> for additional or free council </w:t>
      </w:r>
      <w:r w:rsidR="007C1D05" w:rsidRPr="003C1BBE">
        <w:t>services. The</w:t>
      </w:r>
      <w:r w:rsidR="008C162B" w:rsidRPr="003C1BBE">
        <w:t xml:space="preserve"> introduction of Universal Credit mean</w:t>
      </w:r>
      <w:r w:rsidR="00903137">
        <w:t>s</w:t>
      </w:r>
      <w:r w:rsidR="008C162B" w:rsidRPr="003C1BBE">
        <w:t xml:space="preserve"> that many of the benefits and allowances currently receive</w:t>
      </w:r>
      <w:r w:rsidR="006F23BE">
        <w:t>d by residents</w:t>
      </w:r>
      <w:r w:rsidR="008C162B" w:rsidRPr="003C1BBE">
        <w:t xml:space="preserve"> will be incorporated within the UC single payment</w:t>
      </w:r>
      <w:r w:rsidR="006F23BE">
        <w:t>. T</w:t>
      </w:r>
      <w:r w:rsidR="003903BE">
        <w:t>his</w:t>
      </w:r>
      <w:r w:rsidR="008C162B" w:rsidRPr="003C1BBE">
        <w:t xml:space="preserve"> will not </w:t>
      </w:r>
      <w:r w:rsidR="007C1D05" w:rsidRPr="003C1BBE">
        <w:t>affect</w:t>
      </w:r>
      <w:r w:rsidR="008C162B" w:rsidRPr="003C1BBE">
        <w:t xml:space="preserve"> the </w:t>
      </w:r>
      <w:r w:rsidR="003903BE">
        <w:t xml:space="preserve">eligibility of residents to </w:t>
      </w:r>
      <w:r w:rsidR="008C162B" w:rsidRPr="003C1BBE">
        <w:t>concession they currently receive</w:t>
      </w:r>
      <w:r w:rsidR="007C7968">
        <w:t>.</w:t>
      </w:r>
      <w:r w:rsidR="008C162B" w:rsidRPr="003C1BBE">
        <w:t xml:space="preserve">  </w:t>
      </w:r>
    </w:p>
    <w:p w14:paraId="17A6ADA0" w14:textId="77777777" w:rsidR="008C162B" w:rsidRPr="003C1BBE" w:rsidRDefault="008C162B" w:rsidP="008C162B">
      <w:pPr>
        <w:rPr>
          <w:b/>
        </w:rPr>
      </w:pPr>
    </w:p>
    <w:p w14:paraId="705F885C" w14:textId="77777777" w:rsidR="00570712" w:rsidRPr="003C1BBE" w:rsidRDefault="002F59E6" w:rsidP="00EF56E8">
      <w:pPr>
        <w:tabs>
          <w:tab w:val="left" w:pos="567"/>
        </w:tabs>
        <w:spacing w:after="120"/>
        <w:ind w:left="567" w:right="386" w:hanging="567"/>
      </w:pPr>
      <w:r>
        <w:t>46</w:t>
      </w:r>
      <w:r w:rsidR="006D6BBB">
        <w:tab/>
      </w:r>
      <w:r w:rsidR="00570712" w:rsidRPr="003C1BBE">
        <w:t>The Council gives concessions in the following areas:</w:t>
      </w:r>
      <w:r w:rsidR="00015FB5">
        <w:t xml:space="preserve">   </w:t>
      </w:r>
    </w:p>
    <w:p w14:paraId="1BFF2095" w14:textId="77777777" w:rsidR="003C1BBE" w:rsidRPr="003C1BBE" w:rsidRDefault="00B268FE" w:rsidP="008C162B">
      <w:pPr>
        <w:tabs>
          <w:tab w:val="left" w:pos="1418"/>
        </w:tabs>
        <w:spacing w:after="120"/>
        <w:ind w:left="1418" w:right="386" w:hanging="851"/>
        <w:rPr>
          <w:b/>
        </w:rPr>
      </w:pPr>
      <w:r>
        <w:rPr>
          <w:b/>
        </w:rPr>
        <w:tab/>
      </w:r>
      <w:r w:rsidR="008C162B" w:rsidRPr="003C1BBE">
        <w:rPr>
          <w:b/>
        </w:rPr>
        <w:t>Leisure</w:t>
      </w:r>
      <w:r w:rsidR="003C1BBE" w:rsidRPr="003C1BBE">
        <w:rPr>
          <w:b/>
        </w:rPr>
        <w:t xml:space="preserve"> Services</w:t>
      </w:r>
      <w:r w:rsidR="008C162B" w:rsidRPr="003C1BBE">
        <w:rPr>
          <w:b/>
        </w:rPr>
        <w:t xml:space="preserve"> – </w:t>
      </w:r>
    </w:p>
    <w:p w14:paraId="2591A642" w14:textId="77777777" w:rsidR="008C162B" w:rsidRPr="003C1BBE" w:rsidRDefault="00B268FE" w:rsidP="008C162B">
      <w:pPr>
        <w:tabs>
          <w:tab w:val="left" w:pos="1418"/>
        </w:tabs>
        <w:spacing w:after="120"/>
        <w:ind w:left="1418" w:right="386" w:hanging="851"/>
      </w:pPr>
      <w:r>
        <w:tab/>
      </w:r>
      <w:r w:rsidR="007C1D05" w:rsidRPr="003C1BBE">
        <w:t>Estimated cost</w:t>
      </w:r>
      <w:r w:rsidR="008C162B" w:rsidRPr="003C1BBE">
        <w:t xml:space="preserve"> of </w:t>
      </w:r>
      <w:r w:rsidR="007C1D05" w:rsidRPr="003C1BBE">
        <w:t>concession</w:t>
      </w:r>
      <w:r w:rsidR="008C162B" w:rsidRPr="003C1BBE">
        <w:t xml:space="preserve"> - £560k per annum</w:t>
      </w:r>
    </w:p>
    <w:p w14:paraId="5FA3F94F" w14:textId="77777777" w:rsidR="008C162B" w:rsidRPr="003C1BBE" w:rsidRDefault="00B268FE" w:rsidP="008C162B">
      <w:pPr>
        <w:tabs>
          <w:tab w:val="left" w:pos="1418"/>
        </w:tabs>
        <w:spacing w:after="120"/>
        <w:ind w:left="1418" w:right="386" w:hanging="851"/>
      </w:pPr>
      <w:r>
        <w:tab/>
      </w:r>
      <w:r w:rsidR="008C162B" w:rsidRPr="003C1BBE">
        <w:t xml:space="preserve">The concession is given for </w:t>
      </w:r>
      <w:r w:rsidRPr="003C1BBE">
        <w:t>various</w:t>
      </w:r>
      <w:r w:rsidR="008C162B" w:rsidRPr="003C1BBE">
        <w:t xml:space="preserve"> leisure activities </w:t>
      </w:r>
      <w:r w:rsidR="00EF56E8">
        <w:t>and free swimming for children under 17 at various sessions during week</w:t>
      </w:r>
    </w:p>
    <w:p w14:paraId="30A0228B" w14:textId="77777777" w:rsidR="008C162B" w:rsidRPr="003C1BBE" w:rsidRDefault="00B268FE" w:rsidP="008C162B">
      <w:pPr>
        <w:tabs>
          <w:tab w:val="left" w:pos="1418"/>
        </w:tabs>
        <w:spacing w:after="120"/>
        <w:ind w:right="386"/>
        <w:rPr>
          <w:b/>
        </w:rPr>
      </w:pPr>
      <w:r>
        <w:rPr>
          <w:b/>
        </w:rPr>
        <w:tab/>
      </w:r>
      <w:r w:rsidR="008C162B" w:rsidRPr="003C1BBE">
        <w:rPr>
          <w:b/>
        </w:rPr>
        <w:t>Garden Maintenance</w:t>
      </w:r>
      <w:r w:rsidR="008C162B" w:rsidRPr="003C1BBE">
        <w:rPr>
          <w:b/>
        </w:rPr>
        <w:tab/>
      </w:r>
    </w:p>
    <w:p w14:paraId="0A59F5FB" w14:textId="77777777" w:rsidR="003C1BBE" w:rsidRPr="003C1BBE" w:rsidRDefault="00B268FE" w:rsidP="00B268FE">
      <w:pPr>
        <w:tabs>
          <w:tab w:val="left" w:pos="1418"/>
        </w:tabs>
        <w:spacing w:after="120"/>
        <w:ind w:left="1418" w:right="386"/>
      </w:pPr>
      <w:r>
        <w:tab/>
      </w:r>
      <w:r w:rsidR="003C1BBE" w:rsidRPr="003C1BBE">
        <w:t xml:space="preserve">Approx. 400 tenants were assisted throughout the year with garden maintenance, to a cost of approx. £102,000; </w:t>
      </w:r>
    </w:p>
    <w:p w14:paraId="383E5C9A" w14:textId="77777777" w:rsidR="00570712" w:rsidRPr="003C1BBE" w:rsidRDefault="00B268FE" w:rsidP="008C162B">
      <w:pPr>
        <w:tabs>
          <w:tab w:val="left" w:pos="1418"/>
        </w:tabs>
        <w:spacing w:after="120"/>
        <w:ind w:right="386"/>
        <w:rPr>
          <w:b/>
        </w:rPr>
      </w:pPr>
      <w:r>
        <w:rPr>
          <w:b/>
        </w:rPr>
        <w:tab/>
      </w:r>
      <w:r w:rsidR="003C1BBE" w:rsidRPr="003C1BBE">
        <w:rPr>
          <w:b/>
        </w:rPr>
        <w:t xml:space="preserve">Pest Control </w:t>
      </w:r>
    </w:p>
    <w:p w14:paraId="4B733F2F" w14:textId="77777777" w:rsidR="003C1BBE" w:rsidRDefault="00B268FE" w:rsidP="00B268FE">
      <w:pPr>
        <w:ind w:left="1440"/>
      </w:pPr>
      <w:r w:rsidRPr="003C1BBE">
        <w:t>Approximately</w:t>
      </w:r>
      <w:r w:rsidR="003C1BBE" w:rsidRPr="003C1BBE">
        <w:t xml:space="preserve"> 3,273 customers last year received concessions of £142,000 for various discounts such as treatment of</w:t>
      </w:r>
      <w:r w:rsidR="003C1BBE" w:rsidRPr="00C05230">
        <w:t xml:space="preserve"> pests</w:t>
      </w:r>
      <w:r w:rsidR="003C1BBE">
        <w:t>.</w:t>
      </w:r>
    </w:p>
    <w:p w14:paraId="1F4BD39B" w14:textId="77777777" w:rsidR="003C1BBE" w:rsidRDefault="003C1BBE" w:rsidP="003C1BBE">
      <w:pPr>
        <w:pStyle w:val="ListParagraph"/>
      </w:pPr>
    </w:p>
    <w:p w14:paraId="3B019981" w14:textId="77777777" w:rsidR="003C1BBE" w:rsidRPr="00D21162" w:rsidRDefault="00B268FE" w:rsidP="00390239">
      <w:pPr>
        <w:tabs>
          <w:tab w:val="left" w:pos="1418"/>
        </w:tabs>
        <w:spacing w:after="120"/>
        <w:ind w:left="1418" w:right="386"/>
        <w:rPr>
          <w:b/>
        </w:rPr>
      </w:pPr>
      <w:r>
        <w:tab/>
      </w:r>
      <w:r w:rsidR="00570712" w:rsidRPr="00D21162">
        <w:rPr>
          <w:b/>
        </w:rPr>
        <w:t xml:space="preserve">Garden waste </w:t>
      </w:r>
    </w:p>
    <w:p w14:paraId="476ACC8B" w14:textId="77777777" w:rsidR="00570712" w:rsidRDefault="003C1BBE" w:rsidP="00B268FE">
      <w:pPr>
        <w:tabs>
          <w:tab w:val="left" w:pos="1418"/>
        </w:tabs>
        <w:spacing w:after="120"/>
        <w:ind w:left="1418" w:right="386"/>
      </w:pPr>
      <w:r w:rsidRPr="00D21162">
        <w:t xml:space="preserve">There are approximately </w:t>
      </w:r>
      <w:r w:rsidR="00D21162" w:rsidRPr="00D21162">
        <w:t xml:space="preserve">16,000 </w:t>
      </w:r>
      <w:r w:rsidRPr="00D21162">
        <w:t xml:space="preserve">garden waste customers and </w:t>
      </w:r>
      <w:r w:rsidR="00D21162" w:rsidRPr="00D21162">
        <w:t>3,000</w:t>
      </w:r>
      <w:r w:rsidRPr="00D21162">
        <w:t xml:space="preserve"> </w:t>
      </w:r>
      <w:r w:rsidR="00D21162" w:rsidRPr="00D21162">
        <w:t xml:space="preserve">(19%) </w:t>
      </w:r>
      <w:r w:rsidRPr="00D21162">
        <w:t>that are provided the service for free</w:t>
      </w:r>
      <w:r w:rsidR="00D21162" w:rsidRPr="00D21162">
        <w:t xml:space="preserve"> resulting in a subsidy of around £137k per annum.</w:t>
      </w:r>
    </w:p>
    <w:p w14:paraId="6735D2CD" w14:textId="77777777" w:rsidR="00592064" w:rsidRDefault="00592064" w:rsidP="008D6AFC">
      <w:pPr>
        <w:spacing w:before="240" w:after="120"/>
        <w:outlineLvl w:val="0"/>
        <w:rPr>
          <w:b/>
          <w:color w:val="000000"/>
          <w:lang w:eastAsia="en-GB"/>
        </w:rPr>
      </w:pPr>
      <w:r w:rsidRPr="00B268FE">
        <w:rPr>
          <w:b/>
          <w:color w:val="000000"/>
          <w:lang w:eastAsia="en-GB"/>
        </w:rPr>
        <w:t xml:space="preserve">Welfare </w:t>
      </w:r>
      <w:r w:rsidR="009136C2" w:rsidRPr="00B268FE">
        <w:rPr>
          <w:b/>
          <w:color w:val="000000"/>
          <w:lang w:eastAsia="en-GB"/>
        </w:rPr>
        <w:t xml:space="preserve">Reform Team and </w:t>
      </w:r>
      <w:r w:rsidRPr="00B268FE">
        <w:rPr>
          <w:b/>
          <w:color w:val="000000"/>
          <w:lang w:eastAsia="en-GB"/>
        </w:rPr>
        <w:t>Advice Agency Support</w:t>
      </w:r>
    </w:p>
    <w:p w14:paraId="16E4E84E" w14:textId="77777777" w:rsidR="00390239" w:rsidRDefault="002F59E6" w:rsidP="006D6BBB">
      <w:pPr>
        <w:ind w:left="567" w:hanging="567"/>
      </w:pPr>
      <w:r>
        <w:t>47</w:t>
      </w:r>
      <w:r w:rsidR="006D6BBB">
        <w:tab/>
      </w:r>
      <w:r w:rsidR="001B2F9F">
        <w:t>The Welfare Reform Team costs the authority around £270k per annum and provides support to residents whose tenancy is at risk as a result of the adverse impacts of welfare reform, and managing the transition to Universal Credit. A focus is placed on empowering customers to find long term solutions to their situation, usually with a focus on obtaining employment. </w:t>
      </w:r>
    </w:p>
    <w:p w14:paraId="66B0A60A" w14:textId="77777777" w:rsidR="00390239" w:rsidRDefault="00390239" w:rsidP="006D6BBB">
      <w:pPr>
        <w:ind w:left="567" w:hanging="567"/>
      </w:pPr>
    </w:p>
    <w:p w14:paraId="21DEC632" w14:textId="77777777" w:rsidR="009136C2" w:rsidRDefault="00390239" w:rsidP="00390239">
      <w:pPr>
        <w:ind w:left="567" w:hanging="567"/>
      </w:pPr>
      <w:r>
        <w:t>48</w:t>
      </w:r>
      <w:r>
        <w:tab/>
      </w:r>
      <w:r w:rsidR="001B2F9F">
        <w:t xml:space="preserve">In 2016/17 the team supported 70 people into work which generated £779,006 of public value in terms of savings for the DWP and NHS. The team have also supported residents to maintain their tenancies by making 549 Discretionary Housing Payment awards from 744 applications, totalling £379,009 awarding. Two projects with a value of £1.1m funded by the European Social Fund are being delivered by the Welfare Reform Team to support disadvantaged groups into training and employment pathways.  In addition the authority grant funds the advice sector at a cost of </w:t>
      </w:r>
      <w:r w:rsidR="00B25909">
        <w:t>around £</w:t>
      </w:r>
      <w:r w:rsidR="001B2F9F">
        <w:t xml:space="preserve">500k per annum to provide independent advice to residents on debt and benefit issues in order to achieve the aims of the Council’s Financial Inclusion Strategy. </w:t>
      </w:r>
      <w:r w:rsidR="007C1D05">
        <w:t xml:space="preserve">. </w:t>
      </w:r>
    </w:p>
    <w:p w14:paraId="7A66299A" w14:textId="77777777" w:rsidR="008C162B" w:rsidRDefault="008C162B" w:rsidP="009136C2"/>
    <w:p w14:paraId="3C56F70D" w14:textId="77777777" w:rsidR="00611535" w:rsidRPr="008F77E0" w:rsidRDefault="00611535" w:rsidP="00611535">
      <w:pPr>
        <w:tabs>
          <w:tab w:val="num" w:pos="1440"/>
        </w:tabs>
        <w:spacing w:after="120"/>
        <w:ind w:left="567" w:right="386" w:hanging="720"/>
        <w:jc w:val="both"/>
        <w:rPr>
          <w:b/>
          <w:sz w:val="28"/>
          <w:szCs w:val="28"/>
        </w:rPr>
      </w:pPr>
      <w:r w:rsidRPr="008F77E0">
        <w:rPr>
          <w:b/>
          <w:sz w:val="28"/>
          <w:szCs w:val="28"/>
        </w:rPr>
        <w:t>Section B General Fund Revenue Budget</w:t>
      </w:r>
    </w:p>
    <w:p w14:paraId="7DB884A3" w14:textId="52CFEC5A" w:rsidR="00636F13" w:rsidRPr="00086EBA" w:rsidRDefault="00390239" w:rsidP="008D6AFC">
      <w:pPr>
        <w:tabs>
          <w:tab w:val="num" w:pos="1440"/>
        </w:tabs>
        <w:spacing w:after="120"/>
        <w:ind w:left="567" w:right="386" w:hanging="567"/>
        <w:jc w:val="both"/>
        <w:rPr>
          <w:color w:val="000000"/>
        </w:rPr>
      </w:pPr>
      <w:r>
        <w:rPr>
          <w:color w:val="000000"/>
        </w:rPr>
        <w:t>49</w:t>
      </w:r>
      <w:r w:rsidR="00636F13" w:rsidRPr="008F77E0">
        <w:rPr>
          <w:color w:val="000000"/>
        </w:rPr>
        <w:tab/>
      </w:r>
      <w:r w:rsidR="00611535" w:rsidRPr="008F77E0">
        <w:rPr>
          <w:color w:val="000000"/>
        </w:rPr>
        <w:t>In February 201</w:t>
      </w:r>
      <w:r w:rsidR="00894B8A">
        <w:rPr>
          <w:color w:val="000000"/>
        </w:rPr>
        <w:t>7</w:t>
      </w:r>
      <w:r w:rsidR="00611535" w:rsidRPr="008F77E0">
        <w:rPr>
          <w:color w:val="000000"/>
        </w:rPr>
        <w:t xml:space="preserve"> Council agreed a balanced budget for the four years of </w:t>
      </w:r>
      <w:r w:rsidR="007F41B1">
        <w:rPr>
          <w:color w:val="000000"/>
        </w:rPr>
        <w:t xml:space="preserve">the </w:t>
      </w:r>
      <w:r w:rsidR="007F41B1" w:rsidRPr="008F77E0">
        <w:rPr>
          <w:color w:val="000000"/>
        </w:rPr>
        <w:t>Medium</w:t>
      </w:r>
      <w:r w:rsidR="00611535" w:rsidRPr="008F77E0">
        <w:rPr>
          <w:color w:val="000000"/>
        </w:rPr>
        <w:t xml:space="preserve"> Term Financial Plan 201</w:t>
      </w:r>
      <w:r w:rsidR="00894B8A">
        <w:rPr>
          <w:color w:val="000000"/>
        </w:rPr>
        <w:t>7</w:t>
      </w:r>
      <w:r w:rsidR="00611535" w:rsidRPr="008F77E0">
        <w:rPr>
          <w:color w:val="000000"/>
        </w:rPr>
        <w:t>/1</w:t>
      </w:r>
      <w:r w:rsidR="00894B8A">
        <w:rPr>
          <w:color w:val="000000"/>
        </w:rPr>
        <w:t>8</w:t>
      </w:r>
      <w:r w:rsidR="00611535" w:rsidRPr="008F77E0">
        <w:rPr>
          <w:color w:val="000000"/>
        </w:rPr>
        <w:t xml:space="preserve"> to 20</w:t>
      </w:r>
      <w:r w:rsidR="00894B8A">
        <w:rPr>
          <w:color w:val="000000"/>
        </w:rPr>
        <w:t>20</w:t>
      </w:r>
      <w:r w:rsidR="00611535" w:rsidRPr="008F77E0">
        <w:rPr>
          <w:color w:val="000000"/>
        </w:rPr>
        <w:t>/</w:t>
      </w:r>
      <w:r w:rsidR="009B2AD5" w:rsidRPr="008F77E0">
        <w:rPr>
          <w:color w:val="000000"/>
        </w:rPr>
        <w:t>2</w:t>
      </w:r>
      <w:r w:rsidR="00894B8A">
        <w:rPr>
          <w:color w:val="000000"/>
        </w:rPr>
        <w:t>1</w:t>
      </w:r>
      <w:r w:rsidR="00611535" w:rsidRPr="008F77E0">
        <w:rPr>
          <w:color w:val="000000"/>
        </w:rPr>
        <w:t>. The</w:t>
      </w:r>
      <w:r w:rsidR="009B2AD5" w:rsidRPr="008F77E0">
        <w:rPr>
          <w:color w:val="000000"/>
        </w:rPr>
        <w:t xml:space="preserve"> </w:t>
      </w:r>
      <w:r w:rsidR="00E611DB">
        <w:rPr>
          <w:color w:val="000000"/>
        </w:rPr>
        <w:t>Plan</w:t>
      </w:r>
      <w:r w:rsidR="006D7D90">
        <w:rPr>
          <w:color w:val="000000"/>
        </w:rPr>
        <w:t xml:space="preserve"> </w:t>
      </w:r>
      <w:r w:rsidR="00242199">
        <w:rPr>
          <w:color w:val="000000"/>
        </w:rPr>
        <w:t xml:space="preserve">has been extended </w:t>
      </w:r>
      <w:r w:rsidR="00752917">
        <w:rPr>
          <w:color w:val="000000"/>
        </w:rPr>
        <w:t xml:space="preserve">to 2012/22 and </w:t>
      </w:r>
      <w:r w:rsidR="007C1D05" w:rsidRPr="008F77E0">
        <w:rPr>
          <w:color w:val="000000"/>
        </w:rPr>
        <w:t>all</w:t>
      </w:r>
      <w:r w:rsidR="009B2AD5" w:rsidRPr="008F77E0">
        <w:rPr>
          <w:color w:val="000000"/>
        </w:rPr>
        <w:t xml:space="preserve"> income and expenditure and planning assumptions</w:t>
      </w:r>
      <w:r w:rsidR="00CF6A02">
        <w:rPr>
          <w:color w:val="000000"/>
        </w:rPr>
        <w:t xml:space="preserve"> have been reviewed</w:t>
      </w:r>
      <w:r w:rsidR="00811A9B">
        <w:rPr>
          <w:color w:val="000000"/>
        </w:rPr>
        <w:t>.</w:t>
      </w:r>
      <w:r w:rsidR="0010427B">
        <w:rPr>
          <w:color w:val="000000"/>
        </w:rPr>
        <w:t xml:space="preserve"> </w:t>
      </w:r>
    </w:p>
    <w:p w14:paraId="2AC56DB5" w14:textId="77777777" w:rsidR="00E02B93" w:rsidRPr="008D6AFC" w:rsidRDefault="004C07CE" w:rsidP="008D6AFC">
      <w:pPr>
        <w:spacing w:before="240" w:after="120"/>
        <w:outlineLvl w:val="0"/>
        <w:rPr>
          <w:b/>
          <w:color w:val="000000"/>
          <w:lang w:eastAsia="en-GB"/>
        </w:rPr>
      </w:pPr>
      <w:r w:rsidRPr="008D6AFC">
        <w:rPr>
          <w:b/>
          <w:color w:val="000000"/>
          <w:lang w:eastAsia="en-GB"/>
        </w:rPr>
        <w:t>Value for Money &amp; Efficiency</w:t>
      </w:r>
      <w:r w:rsidR="00133F0E" w:rsidRPr="008D6AFC">
        <w:rPr>
          <w:b/>
          <w:color w:val="000000"/>
          <w:lang w:eastAsia="en-GB"/>
        </w:rPr>
        <w:t xml:space="preserve"> </w:t>
      </w:r>
    </w:p>
    <w:p w14:paraId="730E8268" w14:textId="77777777" w:rsidR="00E44A3A" w:rsidRPr="00537FEF" w:rsidRDefault="00390239" w:rsidP="00E44A3A">
      <w:pPr>
        <w:ind w:left="567" w:right="386" w:hanging="567"/>
        <w:rPr>
          <w:rFonts w:cs="Arial"/>
        </w:rPr>
      </w:pPr>
      <w:r>
        <w:t>50</w:t>
      </w:r>
      <w:r w:rsidR="009410B2" w:rsidRPr="00537FEF">
        <w:tab/>
      </w:r>
      <w:r w:rsidR="00B93CD9" w:rsidRPr="00537FEF">
        <w:t>O</w:t>
      </w:r>
      <w:r w:rsidR="00683034" w:rsidRPr="00537FEF">
        <w:t xml:space="preserve">ver the </w:t>
      </w:r>
      <w:r w:rsidR="005663CA" w:rsidRPr="00537FEF">
        <w:t>next four years</w:t>
      </w:r>
      <w:r w:rsidR="00D01DFA" w:rsidRPr="00537FEF">
        <w:t xml:space="preserve"> </w:t>
      </w:r>
      <w:r w:rsidR="00B93CD9" w:rsidRPr="00537FEF">
        <w:t xml:space="preserve">the Council </w:t>
      </w:r>
      <w:r w:rsidR="005663CA" w:rsidRPr="00537FEF">
        <w:t>will generate a further £</w:t>
      </w:r>
      <w:r w:rsidR="00B25909">
        <w:t>1</w:t>
      </w:r>
      <w:r w:rsidR="00086EBA" w:rsidRPr="00537FEF">
        <w:t>.</w:t>
      </w:r>
      <w:r w:rsidR="00B25909">
        <w:t>8</w:t>
      </w:r>
      <w:r w:rsidR="00CF6A02" w:rsidRPr="00537FEF">
        <w:t xml:space="preserve"> million </w:t>
      </w:r>
      <w:r w:rsidR="005663CA" w:rsidRPr="00537FEF">
        <w:t>of efficiencies</w:t>
      </w:r>
      <w:r w:rsidR="0095436C" w:rsidRPr="00537FEF">
        <w:t xml:space="preserve">, </w:t>
      </w:r>
      <w:r w:rsidR="005663CA" w:rsidRPr="00537FEF">
        <w:t xml:space="preserve">with </w:t>
      </w:r>
      <w:r w:rsidR="00022FE4" w:rsidRPr="00537FEF">
        <w:t>on-going</w:t>
      </w:r>
      <w:r w:rsidR="005663CA" w:rsidRPr="00537FEF">
        <w:t xml:space="preserve"> </w:t>
      </w:r>
      <w:r w:rsidR="00022FE4" w:rsidRPr="00537FEF">
        <w:t>efficiencies</w:t>
      </w:r>
      <w:r w:rsidR="005663CA" w:rsidRPr="00537FEF">
        <w:t xml:space="preserve"> </w:t>
      </w:r>
      <w:r w:rsidR="00317C87" w:rsidRPr="00537FEF">
        <w:t>of £</w:t>
      </w:r>
      <w:r w:rsidR="00B25909">
        <w:t>0.6</w:t>
      </w:r>
      <w:r w:rsidR="00317C87" w:rsidRPr="00537FEF">
        <w:t xml:space="preserve"> million be</w:t>
      </w:r>
      <w:r w:rsidR="00086EBA" w:rsidRPr="00537FEF">
        <w:t>ing</w:t>
      </w:r>
      <w:r w:rsidR="00317C87" w:rsidRPr="00537FEF">
        <w:t xml:space="preserve"> achieved </w:t>
      </w:r>
      <w:r w:rsidR="007C33A6">
        <w:t>beyond</w:t>
      </w:r>
      <w:r w:rsidR="00D26587">
        <w:t xml:space="preserve"> </w:t>
      </w:r>
      <w:r w:rsidR="00317C87" w:rsidRPr="00537FEF">
        <w:t>202</w:t>
      </w:r>
      <w:r w:rsidR="008209DF" w:rsidRPr="00537FEF">
        <w:t>1</w:t>
      </w:r>
      <w:r w:rsidR="00317C87" w:rsidRPr="00537FEF">
        <w:t>/2</w:t>
      </w:r>
      <w:r w:rsidR="008209DF" w:rsidRPr="00537FEF">
        <w:t>2</w:t>
      </w:r>
      <w:r w:rsidR="00317C87" w:rsidRPr="00537FEF">
        <w:t>.</w:t>
      </w:r>
      <w:r w:rsidR="003F2DB2" w:rsidRPr="00537FEF">
        <w:t xml:space="preserve"> </w:t>
      </w:r>
      <w:r w:rsidR="00052F09" w:rsidRPr="00537FEF">
        <w:rPr>
          <w:rFonts w:cs="Arial"/>
        </w:rPr>
        <w:t>Th</w:t>
      </w:r>
      <w:r w:rsidR="001416DD" w:rsidRPr="00537FEF">
        <w:rPr>
          <w:rFonts w:cs="Arial"/>
        </w:rPr>
        <w:t>e</w:t>
      </w:r>
      <w:r w:rsidR="00052F09" w:rsidRPr="00537FEF">
        <w:rPr>
          <w:rFonts w:cs="Arial"/>
        </w:rPr>
        <w:t xml:space="preserve"> </w:t>
      </w:r>
      <w:r w:rsidR="00F81BB5" w:rsidRPr="00537FEF">
        <w:rPr>
          <w:rFonts w:cs="Arial"/>
        </w:rPr>
        <w:t>programme</w:t>
      </w:r>
      <w:r w:rsidR="00052F09" w:rsidRPr="00537FEF">
        <w:rPr>
          <w:rFonts w:cs="Arial"/>
        </w:rPr>
        <w:t xml:space="preserve"> of </w:t>
      </w:r>
      <w:r w:rsidR="009A02E5" w:rsidRPr="00537FEF">
        <w:rPr>
          <w:rFonts w:cs="Arial"/>
        </w:rPr>
        <w:t xml:space="preserve">cumulative </w:t>
      </w:r>
      <w:r w:rsidR="00052F09" w:rsidRPr="00537FEF">
        <w:rPr>
          <w:rFonts w:cs="Arial"/>
        </w:rPr>
        <w:t xml:space="preserve">efficiency savings </w:t>
      </w:r>
      <w:r w:rsidR="007A29E6" w:rsidRPr="00537FEF">
        <w:rPr>
          <w:rFonts w:cs="Arial"/>
        </w:rPr>
        <w:t>a</w:t>
      </w:r>
      <w:r w:rsidR="00E44A3A" w:rsidRPr="00537FEF">
        <w:rPr>
          <w:rFonts w:cs="Arial"/>
        </w:rPr>
        <w:t>re</w:t>
      </w:r>
      <w:r w:rsidR="007A29E6" w:rsidRPr="00537FEF">
        <w:rPr>
          <w:rFonts w:cs="Arial"/>
        </w:rPr>
        <w:t xml:space="preserve"> set out in Appendix 3</w:t>
      </w:r>
      <w:r w:rsidR="00A20A09" w:rsidRPr="00537FEF">
        <w:rPr>
          <w:rFonts w:cs="Arial"/>
        </w:rPr>
        <w:t xml:space="preserve">. </w:t>
      </w:r>
      <w:r w:rsidR="00E44A3A" w:rsidRPr="00537FEF">
        <w:rPr>
          <w:rFonts w:cs="Arial"/>
        </w:rPr>
        <w:t>The</w:t>
      </w:r>
      <w:r w:rsidR="003B5986" w:rsidRPr="00537FEF">
        <w:rPr>
          <w:rFonts w:cs="Arial"/>
        </w:rPr>
        <w:t>y</w:t>
      </w:r>
      <w:r w:rsidR="00E44A3A" w:rsidRPr="00537FEF">
        <w:rPr>
          <w:rFonts w:cs="Arial"/>
        </w:rPr>
        <w:t xml:space="preserve"> </w:t>
      </w:r>
      <w:r w:rsidR="00022FE4" w:rsidRPr="00537FEF">
        <w:rPr>
          <w:rFonts w:cs="Arial"/>
        </w:rPr>
        <w:t>includ</w:t>
      </w:r>
      <w:r w:rsidR="003B5986" w:rsidRPr="00537FEF">
        <w:rPr>
          <w:rFonts w:cs="Arial"/>
        </w:rPr>
        <w:t>e</w:t>
      </w:r>
      <w:r w:rsidR="00022FE4" w:rsidRPr="00537FEF">
        <w:rPr>
          <w:rFonts w:cs="Arial"/>
        </w:rPr>
        <w:t>:</w:t>
      </w:r>
    </w:p>
    <w:p w14:paraId="0EADBED4" w14:textId="77777777" w:rsidR="00E44A3A" w:rsidRPr="00537FEF" w:rsidRDefault="00E44A3A" w:rsidP="00E44A3A">
      <w:pPr>
        <w:ind w:left="567" w:right="386" w:hanging="567"/>
        <w:rPr>
          <w:rFonts w:cs="Arial"/>
        </w:rPr>
      </w:pPr>
    </w:p>
    <w:p w14:paraId="3A7E85FC" w14:textId="77777777" w:rsidR="00317C87" w:rsidRPr="00537FEF" w:rsidRDefault="00317C87" w:rsidP="006C4C35">
      <w:pPr>
        <w:numPr>
          <w:ilvl w:val="0"/>
          <w:numId w:val="12"/>
        </w:numPr>
        <w:ind w:right="386"/>
        <w:rPr>
          <w:rFonts w:cs="Arial"/>
        </w:rPr>
      </w:pPr>
      <w:r w:rsidRPr="00537FEF">
        <w:rPr>
          <w:rFonts w:cs="Arial"/>
        </w:rPr>
        <w:t>Multi skilling in call centre - £</w:t>
      </w:r>
      <w:r w:rsidR="00086EBA" w:rsidRPr="00537FEF">
        <w:rPr>
          <w:rFonts w:cs="Arial"/>
        </w:rPr>
        <w:t>110</w:t>
      </w:r>
      <w:r w:rsidRPr="00537FEF">
        <w:rPr>
          <w:rFonts w:cs="Arial"/>
        </w:rPr>
        <w:t>k</w:t>
      </w:r>
      <w:r w:rsidR="008209DF" w:rsidRPr="00537FEF">
        <w:rPr>
          <w:rFonts w:cs="Arial"/>
        </w:rPr>
        <w:t xml:space="preserve"> per annum</w:t>
      </w:r>
    </w:p>
    <w:p w14:paraId="22E6EC84" w14:textId="77777777" w:rsidR="00086EBA" w:rsidRPr="00537FEF" w:rsidRDefault="00086EBA" w:rsidP="006C4C35">
      <w:pPr>
        <w:numPr>
          <w:ilvl w:val="0"/>
          <w:numId w:val="12"/>
        </w:numPr>
        <w:ind w:right="386"/>
        <w:rPr>
          <w:rFonts w:cs="Arial"/>
        </w:rPr>
      </w:pPr>
      <w:r w:rsidRPr="00537FEF">
        <w:rPr>
          <w:rFonts w:cs="Arial"/>
        </w:rPr>
        <w:t>Closure of Templars Square Office - £14</w:t>
      </w:r>
      <w:r w:rsidR="008209DF" w:rsidRPr="00537FEF">
        <w:rPr>
          <w:rFonts w:cs="Arial"/>
        </w:rPr>
        <w:t>3</w:t>
      </w:r>
      <w:r w:rsidRPr="00537FEF">
        <w:rPr>
          <w:rFonts w:cs="Arial"/>
        </w:rPr>
        <w:t>k per annum</w:t>
      </w:r>
    </w:p>
    <w:p w14:paraId="100C40E0" w14:textId="77777777" w:rsidR="008209DF" w:rsidRPr="00537FEF" w:rsidRDefault="008209DF" w:rsidP="006C4C35">
      <w:pPr>
        <w:numPr>
          <w:ilvl w:val="0"/>
          <w:numId w:val="12"/>
        </w:numPr>
        <w:ind w:right="386"/>
        <w:rPr>
          <w:rFonts w:cs="Arial"/>
        </w:rPr>
      </w:pPr>
      <w:r w:rsidRPr="00537FEF">
        <w:rPr>
          <w:rFonts w:cs="Arial"/>
        </w:rPr>
        <w:t>Savings in payroll ICT costs -£1</w:t>
      </w:r>
      <w:r w:rsidR="00D26587">
        <w:rPr>
          <w:rFonts w:cs="Arial"/>
        </w:rPr>
        <w:t>24k over 2 years</w:t>
      </w:r>
    </w:p>
    <w:p w14:paraId="41217857" w14:textId="77777777" w:rsidR="00317C87" w:rsidRDefault="00537FEF" w:rsidP="006C4C35">
      <w:pPr>
        <w:numPr>
          <w:ilvl w:val="0"/>
          <w:numId w:val="12"/>
        </w:numPr>
        <w:ind w:right="386"/>
        <w:rPr>
          <w:rFonts w:cs="Arial"/>
        </w:rPr>
      </w:pPr>
      <w:r w:rsidRPr="00537FEF">
        <w:rPr>
          <w:rFonts w:cs="Arial"/>
        </w:rPr>
        <w:t>Operational savings from construction of waste recycling station -£240k per annum</w:t>
      </w:r>
    </w:p>
    <w:p w14:paraId="3C126677" w14:textId="77777777" w:rsidR="001432E0" w:rsidRDefault="001432E0" w:rsidP="006C4C35">
      <w:pPr>
        <w:numPr>
          <w:ilvl w:val="0"/>
          <w:numId w:val="12"/>
        </w:numPr>
        <w:ind w:right="386"/>
        <w:rPr>
          <w:rFonts w:cs="Arial"/>
        </w:rPr>
      </w:pPr>
      <w:r>
        <w:rPr>
          <w:rFonts w:cs="Arial"/>
        </w:rPr>
        <w:t>Increased income and efficiency savings from the Local Authority Trading Company (LATCO) rising to £500k per annum by 2021-22.</w:t>
      </w:r>
    </w:p>
    <w:p w14:paraId="28F1BA4D" w14:textId="77777777" w:rsidR="00537FEF" w:rsidRPr="00537FEF" w:rsidRDefault="00537FEF" w:rsidP="00537FEF">
      <w:pPr>
        <w:ind w:left="1284" w:right="386"/>
        <w:rPr>
          <w:rFonts w:cs="Arial"/>
        </w:rPr>
      </w:pPr>
    </w:p>
    <w:p w14:paraId="5C84D1FF" w14:textId="732AFA44" w:rsidR="00C143DE" w:rsidRPr="008D6AFC" w:rsidRDefault="00CB2E55" w:rsidP="008D6AFC">
      <w:pPr>
        <w:spacing w:before="240" w:after="120"/>
        <w:outlineLvl w:val="0"/>
        <w:rPr>
          <w:b/>
          <w:color w:val="000000"/>
          <w:lang w:eastAsia="en-GB"/>
        </w:rPr>
      </w:pPr>
      <w:r w:rsidRPr="008D6AFC">
        <w:rPr>
          <w:b/>
          <w:color w:val="000000"/>
          <w:lang w:eastAsia="en-GB"/>
        </w:rPr>
        <w:t>Fundamental Service Reviews</w:t>
      </w:r>
    </w:p>
    <w:p w14:paraId="6E78FC0D" w14:textId="77777777" w:rsidR="00624A41" w:rsidRDefault="00390239" w:rsidP="00B8025B">
      <w:pPr>
        <w:ind w:left="567" w:right="386" w:hanging="567"/>
        <w:rPr>
          <w:rFonts w:cs="Arial"/>
        </w:rPr>
      </w:pPr>
      <w:r>
        <w:rPr>
          <w:rFonts w:cs="Arial"/>
        </w:rPr>
        <w:t>51</w:t>
      </w:r>
      <w:r w:rsidR="00CB2E55" w:rsidRPr="001345A3">
        <w:rPr>
          <w:rFonts w:cs="Arial"/>
        </w:rPr>
        <w:tab/>
      </w:r>
      <w:r w:rsidR="00B8025B" w:rsidRPr="001345A3">
        <w:rPr>
          <w:rFonts w:cs="Arial"/>
        </w:rPr>
        <w:t xml:space="preserve">As part of </w:t>
      </w:r>
      <w:r w:rsidR="004D1C10" w:rsidRPr="001345A3">
        <w:rPr>
          <w:rFonts w:cs="Arial"/>
        </w:rPr>
        <w:t xml:space="preserve">the Council’s </w:t>
      </w:r>
      <w:r w:rsidR="00B8025B" w:rsidRPr="001345A3">
        <w:rPr>
          <w:rFonts w:cs="Arial"/>
        </w:rPr>
        <w:t xml:space="preserve">budget setting preparations officers have initiated a number of fundamental service reviews. The reviews have challenged current working practices, looking at benchmarking data for performance and costs, alternative delivery models and best practice both within and outside the sector. </w:t>
      </w:r>
    </w:p>
    <w:p w14:paraId="326A6573" w14:textId="77777777" w:rsidR="00624A41" w:rsidRDefault="00624A41" w:rsidP="00B8025B">
      <w:pPr>
        <w:ind w:left="567" w:right="386" w:hanging="567"/>
        <w:rPr>
          <w:rFonts w:cs="Arial"/>
        </w:rPr>
      </w:pPr>
    </w:p>
    <w:p w14:paraId="36C2C7D1" w14:textId="77777777" w:rsidR="00B8025B" w:rsidRPr="001345A3" w:rsidRDefault="00390239" w:rsidP="006D6BBB">
      <w:pPr>
        <w:ind w:left="567" w:right="386" w:hanging="567"/>
        <w:rPr>
          <w:rFonts w:cs="Arial"/>
        </w:rPr>
      </w:pPr>
      <w:r>
        <w:rPr>
          <w:rFonts w:cs="Arial"/>
        </w:rPr>
        <w:t>52</w:t>
      </w:r>
      <w:r w:rsidR="006D6BBB">
        <w:rPr>
          <w:rFonts w:cs="Arial"/>
        </w:rPr>
        <w:tab/>
      </w:r>
      <w:r w:rsidR="00EF56E8">
        <w:rPr>
          <w:rFonts w:cs="Arial"/>
        </w:rPr>
        <w:t>Reviews are ongoing in the following areas</w:t>
      </w:r>
      <w:r w:rsidR="007C1D05">
        <w:rPr>
          <w:rFonts w:cs="Arial"/>
        </w:rPr>
        <w:t>:</w:t>
      </w:r>
    </w:p>
    <w:p w14:paraId="69786B00" w14:textId="77777777" w:rsidR="00B8025B" w:rsidRPr="001345A3" w:rsidRDefault="00B8025B" w:rsidP="00B8025B">
      <w:pPr>
        <w:ind w:left="567" w:right="386" w:hanging="567"/>
        <w:rPr>
          <w:rFonts w:cs="Arial"/>
        </w:rPr>
      </w:pPr>
    </w:p>
    <w:p w14:paraId="4BADC32E" w14:textId="77777777" w:rsidR="00BB4857" w:rsidRDefault="007704A0" w:rsidP="00D05C01">
      <w:pPr>
        <w:pStyle w:val="ListParagraph"/>
        <w:ind w:left="1276" w:right="340"/>
        <w:contextualSpacing/>
        <w:jc w:val="both"/>
      </w:pPr>
      <w:r w:rsidRPr="005A1BBF">
        <w:rPr>
          <w:rFonts w:cs="Arial"/>
          <w:b/>
        </w:rPr>
        <w:t xml:space="preserve">Parks and Street Scene – </w:t>
      </w:r>
      <w:r w:rsidR="00BB4857" w:rsidRPr="005A1BBF">
        <w:rPr>
          <w:rFonts w:cs="Arial"/>
        </w:rPr>
        <w:t>the</w:t>
      </w:r>
      <w:r w:rsidR="00BB4857">
        <w:rPr>
          <w:rFonts w:cs="Arial"/>
        </w:rPr>
        <w:t xml:space="preserve"> thrust of the review has been to </w:t>
      </w:r>
      <w:r w:rsidR="00BB4857" w:rsidRPr="006F6412">
        <w:t>join similar operations together, share best practice and resources and have a wider pool to help with delivering a great service and meeting the increasing commercial challenge.</w:t>
      </w:r>
      <w:r w:rsidR="00BB4857">
        <w:t xml:space="preserve"> </w:t>
      </w:r>
      <w:r w:rsidR="008A1769">
        <w:t>T</w:t>
      </w:r>
      <w:r w:rsidR="00BB4857">
        <w:t xml:space="preserve">his would help mitigate recent reduction in public perception around cleanliness of streets and the increased standards arising from the opening of Westgate. The service has recently restructured and although there have been no net financial savings there has been </w:t>
      </w:r>
      <w:r w:rsidR="008A1769">
        <w:t xml:space="preserve">a number of </w:t>
      </w:r>
      <w:r w:rsidR="00BB4857">
        <w:t xml:space="preserve">efficiencies </w:t>
      </w:r>
      <w:r w:rsidR="008A1769">
        <w:t>f</w:t>
      </w:r>
      <w:r w:rsidR="006D6BBB">
        <w:t>rom</w:t>
      </w:r>
      <w:r w:rsidR="008A1769">
        <w:t xml:space="preserve"> the services.</w:t>
      </w:r>
    </w:p>
    <w:p w14:paraId="64258FEE" w14:textId="77777777" w:rsidR="007704A0" w:rsidRPr="007704A0" w:rsidRDefault="007704A0" w:rsidP="00BB4857">
      <w:pPr>
        <w:pStyle w:val="ListParagraph"/>
        <w:ind w:left="1080" w:right="386"/>
        <w:rPr>
          <w:rFonts w:cs="Arial"/>
          <w:b/>
          <w:highlight w:val="yellow"/>
        </w:rPr>
      </w:pPr>
    </w:p>
    <w:p w14:paraId="100F7D99" w14:textId="77777777" w:rsidR="007704A0" w:rsidRDefault="007704A0" w:rsidP="00D05C01">
      <w:pPr>
        <w:pStyle w:val="ListParagraph"/>
        <w:ind w:left="1080" w:right="386"/>
        <w:rPr>
          <w:rFonts w:cs="Arial"/>
          <w:b/>
        </w:rPr>
      </w:pPr>
      <w:r w:rsidRPr="00BB4857">
        <w:rPr>
          <w:rFonts w:cs="Arial"/>
          <w:b/>
        </w:rPr>
        <w:t>Community Safety</w:t>
      </w:r>
      <w:r w:rsidR="00BB4857" w:rsidRPr="00BB4857">
        <w:rPr>
          <w:rFonts w:cs="Arial"/>
          <w:b/>
        </w:rPr>
        <w:t xml:space="preserve"> – </w:t>
      </w:r>
      <w:r w:rsidR="00BB4857" w:rsidRPr="00BB4857">
        <w:rPr>
          <w:rFonts w:cs="Arial"/>
        </w:rPr>
        <w:t xml:space="preserve">There have been a number of </w:t>
      </w:r>
      <w:r w:rsidR="007C1D05" w:rsidRPr="00BB4857">
        <w:rPr>
          <w:rFonts w:cs="Arial"/>
        </w:rPr>
        <w:t>work streams</w:t>
      </w:r>
      <w:r w:rsidR="00BB4857" w:rsidRPr="00BB4857">
        <w:rPr>
          <w:rFonts w:cs="Arial"/>
        </w:rPr>
        <w:t xml:space="preserve"> examined with the main </w:t>
      </w:r>
      <w:r w:rsidR="007C1D05" w:rsidRPr="00BB4857">
        <w:rPr>
          <w:rFonts w:cs="Arial"/>
        </w:rPr>
        <w:t>thrust</w:t>
      </w:r>
      <w:r w:rsidR="00BB4857" w:rsidRPr="00BB4857">
        <w:rPr>
          <w:rFonts w:cs="Arial"/>
        </w:rPr>
        <w:t xml:space="preserve"> of the review looking at the workloads of the Community Response Team which has come under pressure in recent months to undertake more work as the Police reduce resourcing within the City. The team has been restructured and additional management capacity built in to tackle this issue together with a project manager for 2 years to be funded by the Transformation Fund Budget. </w:t>
      </w:r>
      <w:r w:rsidR="00DD1FC6">
        <w:rPr>
          <w:rFonts w:cs="Arial"/>
        </w:rPr>
        <w:t>This will not release savings in the early years but may do later on. T</w:t>
      </w:r>
      <w:r w:rsidR="00BB4857" w:rsidRPr="00BB4857">
        <w:rPr>
          <w:rFonts w:cs="Arial"/>
        </w:rPr>
        <w:t xml:space="preserve">he team are </w:t>
      </w:r>
      <w:r w:rsidR="00DD1FC6">
        <w:rPr>
          <w:rFonts w:cs="Arial"/>
        </w:rPr>
        <w:t xml:space="preserve">also </w:t>
      </w:r>
      <w:r w:rsidR="00BB4857" w:rsidRPr="00BB4857">
        <w:rPr>
          <w:rFonts w:cs="Arial"/>
        </w:rPr>
        <w:t xml:space="preserve">seeking consultancy advice to look at the future operation of the CCTV system in Oxford including the potential to sell services to other authorities. This is linked to the </w:t>
      </w:r>
      <w:r w:rsidR="007C1D05" w:rsidRPr="00BB4857">
        <w:rPr>
          <w:rFonts w:cs="Arial"/>
        </w:rPr>
        <w:t>capital</w:t>
      </w:r>
      <w:r w:rsidR="00BB4857" w:rsidRPr="00BB4857">
        <w:rPr>
          <w:rFonts w:cs="Arial"/>
        </w:rPr>
        <w:t xml:space="preserve"> bid of £70k</w:t>
      </w:r>
      <w:r w:rsidR="00BB4857" w:rsidRPr="00BB4857">
        <w:rPr>
          <w:rFonts w:cs="Arial"/>
          <w:b/>
        </w:rPr>
        <w:t xml:space="preserve"> </w:t>
      </w:r>
    </w:p>
    <w:p w14:paraId="3D520BC8" w14:textId="77777777" w:rsidR="00BB4857" w:rsidRPr="007704A0" w:rsidRDefault="00BB4857" w:rsidP="00DD1FC6">
      <w:pPr>
        <w:pStyle w:val="ListParagraph"/>
        <w:ind w:left="1800" w:right="386"/>
        <w:rPr>
          <w:rFonts w:cs="Arial"/>
          <w:b/>
          <w:highlight w:val="yellow"/>
        </w:rPr>
      </w:pPr>
    </w:p>
    <w:p w14:paraId="0F9AD026" w14:textId="77777777" w:rsidR="007704A0" w:rsidRDefault="007704A0" w:rsidP="00D05C01">
      <w:pPr>
        <w:pStyle w:val="ListParagraph"/>
        <w:ind w:left="1080" w:right="386"/>
        <w:rPr>
          <w:rFonts w:cs="Arial"/>
        </w:rPr>
      </w:pPr>
      <w:r w:rsidRPr="006C4C35">
        <w:rPr>
          <w:rFonts w:cs="Arial"/>
          <w:b/>
        </w:rPr>
        <w:t>Commercial Property</w:t>
      </w:r>
      <w:r w:rsidR="00DD1FC6" w:rsidRPr="006C4C35">
        <w:rPr>
          <w:rFonts w:cs="Arial"/>
        </w:rPr>
        <w:t xml:space="preserve"> – The team are currently </w:t>
      </w:r>
      <w:r w:rsidR="007C1D05" w:rsidRPr="006C4C35">
        <w:rPr>
          <w:rFonts w:cs="Arial"/>
        </w:rPr>
        <w:t>reviving</w:t>
      </w:r>
      <w:r w:rsidR="00DD1FC6" w:rsidRPr="006C4C35">
        <w:rPr>
          <w:rFonts w:cs="Arial"/>
        </w:rPr>
        <w:t xml:space="preserve"> the Councils property portfolio in terms of the returns that the Council is achieving and the mix of the portfolio between industrial, retail etc. In addition a paper is being prepared to commission work to look at the potential for using prudential </w:t>
      </w:r>
      <w:r w:rsidR="007C1D05" w:rsidRPr="006C4C35">
        <w:rPr>
          <w:rFonts w:cs="Arial"/>
        </w:rPr>
        <w:t>borrowing powers</w:t>
      </w:r>
      <w:r w:rsidR="00DD1FC6" w:rsidRPr="006C4C35">
        <w:rPr>
          <w:rFonts w:cs="Arial"/>
        </w:rPr>
        <w:t xml:space="preserve"> to either purchase additional property or make further advances into the </w:t>
      </w:r>
      <w:r w:rsidR="007C1D05" w:rsidRPr="006C4C35">
        <w:rPr>
          <w:rFonts w:cs="Arial"/>
        </w:rPr>
        <w:t>Councils</w:t>
      </w:r>
      <w:r w:rsidR="00DD1FC6" w:rsidRPr="006C4C35">
        <w:rPr>
          <w:rFonts w:cs="Arial"/>
        </w:rPr>
        <w:t xml:space="preserve"> property funds for financial gain. The </w:t>
      </w:r>
      <w:r w:rsidR="007C1D05" w:rsidRPr="006C4C35">
        <w:rPr>
          <w:rFonts w:cs="Arial"/>
        </w:rPr>
        <w:t>Government</w:t>
      </w:r>
      <w:r w:rsidR="00DD1FC6" w:rsidRPr="006C4C35">
        <w:rPr>
          <w:rFonts w:cs="Arial"/>
        </w:rPr>
        <w:t xml:space="preserve"> are </w:t>
      </w:r>
      <w:r w:rsidR="007C1D05" w:rsidRPr="006C4C35">
        <w:rPr>
          <w:rFonts w:cs="Arial"/>
        </w:rPr>
        <w:t>currently</w:t>
      </w:r>
      <w:r w:rsidR="00DD1FC6" w:rsidRPr="006C4C35">
        <w:rPr>
          <w:rFonts w:cs="Arial"/>
        </w:rPr>
        <w:t xml:space="preserve"> consulting on restricting the </w:t>
      </w:r>
      <w:r w:rsidR="007C1D05" w:rsidRPr="006C4C35">
        <w:rPr>
          <w:rFonts w:cs="Arial"/>
        </w:rPr>
        <w:t>ability</w:t>
      </w:r>
      <w:r w:rsidR="00DD1FC6" w:rsidRPr="006C4C35">
        <w:rPr>
          <w:rFonts w:cs="Arial"/>
        </w:rPr>
        <w:t xml:space="preserve"> of local authorities to use borrowing to purchase property for financial gain which may </w:t>
      </w:r>
      <w:r w:rsidR="007C1D05" w:rsidRPr="006C4C35">
        <w:rPr>
          <w:rFonts w:cs="Arial"/>
        </w:rPr>
        <w:t>affect</w:t>
      </w:r>
      <w:r w:rsidR="00DD1FC6" w:rsidRPr="006C4C35">
        <w:rPr>
          <w:rFonts w:cs="Arial"/>
        </w:rPr>
        <w:t xml:space="preserve"> this work stream</w:t>
      </w:r>
      <w:r w:rsidR="006C4C35">
        <w:rPr>
          <w:rFonts w:cs="Arial"/>
        </w:rPr>
        <w:t>.</w:t>
      </w:r>
      <w:r w:rsidR="00DD1FC6" w:rsidRPr="006C4C35">
        <w:rPr>
          <w:rFonts w:cs="Arial"/>
        </w:rPr>
        <w:t xml:space="preserve"> </w:t>
      </w:r>
    </w:p>
    <w:p w14:paraId="41300923" w14:textId="77777777" w:rsidR="006C4C35" w:rsidRPr="006C4C35" w:rsidRDefault="006C4C35" w:rsidP="006C4C35">
      <w:pPr>
        <w:pStyle w:val="ListParagraph"/>
        <w:rPr>
          <w:rFonts w:cs="Arial"/>
        </w:rPr>
      </w:pPr>
    </w:p>
    <w:p w14:paraId="6ADB5A8E" w14:textId="77777777" w:rsidR="007704A0" w:rsidRPr="006C4C35" w:rsidRDefault="007C1D05" w:rsidP="00D05C01">
      <w:pPr>
        <w:pStyle w:val="ListParagraph"/>
        <w:ind w:left="1080" w:right="386"/>
        <w:rPr>
          <w:rFonts w:cs="Arial"/>
        </w:rPr>
      </w:pPr>
      <w:r w:rsidRPr="006C4C35">
        <w:rPr>
          <w:rFonts w:cs="Arial"/>
          <w:b/>
        </w:rPr>
        <w:t>Environmental</w:t>
      </w:r>
      <w:r w:rsidR="007704A0" w:rsidRPr="006C4C35">
        <w:rPr>
          <w:rFonts w:cs="Arial"/>
          <w:b/>
        </w:rPr>
        <w:t xml:space="preserve"> Health</w:t>
      </w:r>
      <w:r w:rsidR="00DD1FC6" w:rsidRPr="006C4C35">
        <w:rPr>
          <w:rFonts w:cs="Arial"/>
        </w:rPr>
        <w:t xml:space="preserve"> – </w:t>
      </w:r>
      <w:r w:rsidRPr="006C4C35">
        <w:rPr>
          <w:rFonts w:cs="Arial"/>
        </w:rPr>
        <w:t>work streams</w:t>
      </w:r>
      <w:r w:rsidR="00DD1FC6" w:rsidRPr="006C4C35">
        <w:rPr>
          <w:rFonts w:cs="Arial"/>
        </w:rPr>
        <w:t xml:space="preserve"> in this area include:</w:t>
      </w:r>
    </w:p>
    <w:p w14:paraId="7C2DE76D" w14:textId="77777777" w:rsidR="00DD1FC6" w:rsidRPr="006C4C35" w:rsidRDefault="00A44D3E" w:rsidP="006C4C35">
      <w:pPr>
        <w:pStyle w:val="ListParagraph"/>
        <w:numPr>
          <w:ilvl w:val="1"/>
          <w:numId w:val="26"/>
        </w:numPr>
        <w:ind w:right="386"/>
        <w:rPr>
          <w:rFonts w:cs="Arial"/>
        </w:rPr>
      </w:pPr>
      <w:r w:rsidRPr="006C4C35">
        <w:rPr>
          <w:rFonts w:cs="Arial"/>
        </w:rPr>
        <w:t>Refreshing policy on adaptations</w:t>
      </w:r>
    </w:p>
    <w:p w14:paraId="08144BE5" w14:textId="77777777" w:rsidR="00A44D3E" w:rsidRPr="006C4C35" w:rsidRDefault="00A44D3E" w:rsidP="006C4C35">
      <w:pPr>
        <w:pStyle w:val="ListParagraph"/>
        <w:numPr>
          <w:ilvl w:val="1"/>
          <w:numId w:val="26"/>
        </w:numPr>
        <w:ind w:right="386"/>
        <w:rPr>
          <w:rFonts w:cs="Arial"/>
        </w:rPr>
      </w:pPr>
      <w:r w:rsidRPr="006C4C35">
        <w:rPr>
          <w:rFonts w:cs="Arial"/>
        </w:rPr>
        <w:t xml:space="preserve">Considering </w:t>
      </w:r>
      <w:r w:rsidR="007C1D05" w:rsidRPr="006C4C35">
        <w:rPr>
          <w:rFonts w:cs="Arial"/>
        </w:rPr>
        <w:t>differing</w:t>
      </w:r>
      <w:r w:rsidRPr="006C4C35">
        <w:rPr>
          <w:rFonts w:cs="Arial"/>
        </w:rPr>
        <w:t xml:space="preserve"> rates of charge for the small handyman repairs service </w:t>
      </w:r>
      <w:r w:rsidR="007C1D05" w:rsidRPr="006C4C35">
        <w:rPr>
          <w:rFonts w:cs="Arial"/>
        </w:rPr>
        <w:t>currently</w:t>
      </w:r>
      <w:r w:rsidRPr="006C4C35">
        <w:rPr>
          <w:rFonts w:cs="Arial"/>
        </w:rPr>
        <w:t xml:space="preserve"> offered</w:t>
      </w:r>
    </w:p>
    <w:p w14:paraId="0DB03715" w14:textId="77777777" w:rsidR="00A44D3E" w:rsidRPr="006C4C35" w:rsidRDefault="007C1D05" w:rsidP="006C4C35">
      <w:pPr>
        <w:pStyle w:val="ListParagraph"/>
        <w:numPr>
          <w:ilvl w:val="1"/>
          <w:numId w:val="26"/>
        </w:numPr>
        <w:ind w:right="386"/>
        <w:rPr>
          <w:rFonts w:cs="Arial"/>
        </w:rPr>
      </w:pPr>
      <w:r w:rsidRPr="006C4C35">
        <w:rPr>
          <w:rFonts w:cs="Arial"/>
        </w:rPr>
        <w:t>Analyse</w:t>
      </w:r>
      <w:r w:rsidR="00A44D3E" w:rsidRPr="006C4C35">
        <w:rPr>
          <w:rFonts w:cs="Arial"/>
        </w:rPr>
        <w:t xml:space="preserve"> costs to ensure income optimisation for HMO licensing</w:t>
      </w:r>
    </w:p>
    <w:p w14:paraId="3C3DDE85" w14:textId="77777777" w:rsidR="00A44D3E" w:rsidRPr="006C4C35" w:rsidRDefault="00A44D3E" w:rsidP="006C4C35">
      <w:pPr>
        <w:pStyle w:val="ListParagraph"/>
        <w:numPr>
          <w:ilvl w:val="1"/>
          <w:numId w:val="26"/>
        </w:numPr>
        <w:ind w:right="386"/>
        <w:rPr>
          <w:rFonts w:cs="Arial"/>
        </w:rPr>
      </w:pPr>
      <w:r w:rsidRPr="006C4C35">
        <w:rPr>
          <w:rFonts w:cs="Arial"/>
        </w:rPr>
        <w:t xml:space="preserve">Prepare business case for </w:t>
      </w:r>
      <w:r w:rsidR="007C1D05" w:rsidRPr="006C4C35">
        <w:rPr>
          <w:rFonts w:cs="Arial"/>
        </w:rPr>
        <w:t>commercialisation</w:t>
      </w:r>
      <w:r w:rsidRPr="006C4C35">
        <w:rPr>
          <w:rFonts w:cs="Arial"/>
        </w:rPr>
        <w:t xml:space="preserve"> of building control</w:t>
      </w:r>
    </w:p>
    <w:p w14:paraId="2C8E6F81" w14:textId="77777777" w:rsidR="00A44D3E" w:rsidRDefault="00A44D3E" w:rsidP="006C4C35">
      <w:pPr>
        <w:pStyle w:val="ListParagraph"/>
        <w:numPr>
          <w:ilvl w:val="1"/>
          <w:numId w:val="26"/>
        </w:numPr>
        <w:ind w:right="386"/>
        <w:rPr>
          <w:rFonts w:cs="Arial"/>
        </w:rPr>
      </w:pPr>
      <w:r w:rsidRPr="006C4C35">
        <w:rPr>
          <w:rFonts w:cs="Arial"/>
        </w:rPr>
        <w:t xml:space="preserve">Work up proposals for report on PRS selective licensing   </w:t>
      </w:r>
    </w:p>
    <w:p w14:paraId="6F5883DF" w14:textId="77777777" w:rsidR="006C4C35" w:rsidRPr="006C4C35" w:rsidRDefault="006C4C35" w:rsidP="006C4C35">
      <w:pPr>
        <w:pStyle w:val="ListParagraph"/>
        <w:ind w:left="1800" w:right="386"/>
        <w:rPr>
          <w:rFonts w:cs="Arial"/>
        </w:rPr>
      </w:pPr>
    </w:p>
    <w:p w14:paraId="31C80450" w14:textId="77777777" w:rsidR="007704A0" w:rsidRDefault="007704A0" w:rsidP="00D05C01">
      <w:pPr>
        <w:pStyle w:val="ListParagraph"/>
        <w:ind w:left="1080" w:right="386"/>
        <w:rPr>
          <w:rFonts w:cs="Arial"/>
        </w:rPr>
      </w:pPr>
      <w:r w:rsidRPr="006C4C35">
        <w:rPr>
          <w:rFonts w:cs="Arial"/>
          <w:b/>
        </w:rPr>
        <w:t>Finance</w:t>
      </w:r>
      <w:r w:rsidR="00A44D3E" w:rsidRPr="006C4C35">
        <w:rPr>
          <w:rFonts w:cs="Arial"/>
          <w:b/>
        </w:rPr>
        <w:t xml:space="preserve"> </w:t>
      </w:r>
      <w:r w:rsidR="00A44D3E" w:rsidRPr="006C4C35">
        <w:rPr>
          <w:rFonts w:cs="Arial"/>
        </w:rPr>
        <w:t xml:space="preserve">– </w:t>
      </w:r>
      <w:r w:rsidR="007C1D05" w:rsidRPr="006C4C35">
        <w:rPr>
          <w:rFonts w:cs="Arial"/>
        </w:rPr>
        <w:t>Reviewing</w:t>
      </w:r>
      <w:r w:rsidR="00A44D3E" w:rsidRPr="006C4C35">
        <w:rPr>
          <w:rFonts w:cs="Arial"/>
        </w:rPr>
        <w:t xml:space="preserve"> the operation of accountancy service with other local authorities similar in size and offering similar services seeking best practice and efficiency of operation. Recent workloads around companies have </w:t>
      </w:r>
      <w:r w:rsidR="007C1D05" w:rsidRPr="006C4C35">
        <w:rPr>
          <w:rFonts w:cs="Arial"/>
        </w:rPr>
        <w:t>necessitated</w:t>
      </w:r>
      <w:r w:rsidR="00A44D3E" w:rsidRPr="006C4C35">
        <w:rPr>
          <w:rFonts w:cs="Arial"/>
        </w:rPr>
        <w:t xml:space="preserve"> the </w:t>
      </w:r>
      <w:r w:rsidR="007C1D05" w:rsidRPr="006C4C35">
        <w:rPr>
          <w:rFonts w:cs="Arial"/>
        </w:rPr>
        <w:t>employment</w:t>
      </w:r>
      <w:r w:rsidR="00A44D3E" w:rsidRPr="006C4C35">
        <w:rPr>
          <w:rFonts w:cs="Arial"/>
        </w:rPr>
        <w:t xml:space="preserve"> of </w:t>
      </w:r>
      <w:r w:rsidR="007C1D05" w:rsidRPr="006C4C35">
        <w:rPr>
          <w:rFonts w:cs="Arial"/>
        </w:rPr>
        <w:t>additional</w:t>
      </w:r>
      <w:r w:rsidR="00A44D3E" w:rsidRPr="006C4C35">
        <w:rPr>
          <w:rFonts w:cs="Arial"/>
        </w:rPr>
        <w:t xml:space="preserve"> staff in this area to increase the capacity to provide the strategic financial leadership to companies and additional operational workloads such as increased statement of </w:t>
      </w:r>
      <w:r w:rsidR="007C1D05" w:rsidRPr="006C4C35">
        <w:rPr>
          <w:rFonts w:cs="Arial"/>
        </w:rPr>
        <w:t>accounts,</w:t>
      </w:r>
      <w:r w:rsidR="00A44D3E" w:rsidRPr="006C4C35">
        <w:rPr>
          <w:rFonts w:cs="Arial"/>
        </w:rPr>
        <w:t xml:space="preserve"> </w:t>
      </w:r>
      <w:r w:rsidR="007C1D05" w:rsidRPr="006C4C35">
        <w:rPr>
          <w:rFonts w:cs="Arial"/>
        </w:rPr>
        <w:t>reconciliations,</w:t>
      </w:r>
      <w:r w:rsidR="00A44D3E" w:rsidRPr="006C4C35">
        <w:rPr>
          <w:rFonts w:cs="Arial"/>
        </w:rPr>
        <w:t xml:space="preserve"> forecasting and other management accounting functions. </w:t>
      </w:r>
      <w:r w:rsidR="007C1D05" w:rsidRPr="006C4C35">
        <w:rPr>
          <w:rFonts w:cs="Arial"/>
        </w:rPr>
        <w:t>Revie</w:t>
      </w:r>
      <w:r w:rsidR="007C1D05">
        <w:rPr>
          <w:rFonts w:cs="Arial"/>
        </w:rPr>
        <w:t>w</w:t>
      </w:r>
      <w:r w:rsidR="00A44D3E" w:rsidRPr="006C4C35">
        <w:rPr>
          <w:rFonts w:cs="Arial"/>
        </w:rPr>
        <w:t xml:space="preserve"> still ongoing  </w:t>
      </w:r>
    </w:p>
    <w:p w14:paraId="615A461B" w14:textId="77777777" w:rsidR="006C4C35" w:rsidRPr="006C4C35" w:rsidRDefault="006C4C35" w:rsidP="006C4C35">
      <w:pPr>
        <w:pStyle w:val="ListParagraph"/>
        <w:ind w:left="1080" w:right="386"/>
        <w:rPr>
          <w:rFonts w:cs="Arial"/>
        </w:rPr>
      </w:pPr>
    </w:p>
    <w:p w14:paraId="5F4059DD" w14:textId="77777777" w:rsidR="007704A0" w:rsidRPr="006C4C35" w:rsidRDefault="007704A0" w:rsidP="00D05C01">
      <w:pPr>
        <w:pStyle w:val="ListParagraph"/>
        <w:ind w:left="1080" w:right="386"/>
        <w:rPr>
          <w:rFonts w:cs="Arial"/>
        </w:rPr>
      </w:pPr>
      <w:r w:rsidRPr="006C4C35">
        <w:rPr>
          <w:rFonts w:cs="Arial"/>
          <w:b/>
        </w:rPr>
        <w:t>Benefits</w:t>
      </w:r>
      <w:r w:rsidR="00A44D3E" w:rsidRPr="006C4C35">
        <w:rPr>
          <w:rFonts w:cs="Arial"/>
          <w:b/>
        </w:rPr>
        <w:t xml:space="preserve"> </w:t>
      </w:r>
      <w:r w:rsidR="00A44D3E" w:rsidRPr="006C4C35">
        <w:rPr>
          <w:rFonts w:cs="Arial"/>
        </w:rPr>
        <w:t xml:space="preserve">– Undertaken a number of </w:t>
      </w:r>
      <w:r w:rsidR="007C1D05" w:rsidRPr="006C4C35">
        <w:rPr>
          <w:rFonts w:cs="Arial"/>
        </w:rPr>
        <w:t>wor</w:t>
      </w:r>
      <w:r w:rsidR="007C1D05">
        <w:rPr>
          <w:rFonts w:cs="Arial"/>
        </w:rPr>
        <w:t xml:space="preserve">k </w:t>
      </w:r>
      <w:r w:rsidR="007C1D05" w:rsidRPr="006C4C35">
        <w:rPr>
          <w:rFonts w:cs="Arial"/>
        </w:rPr>
        <w:t>streams</w:t>
      </w:r>
      <w:r w:rsidR="00A44D3E" w:rsidRPr="006C4C35">
        <w:rPr>
          <w:rFonts w:cs="Arial"/>
        </w:rPr>
        <w:t xml:space="preserve"> </w:t>
      </w:r>
      <w:r w:rsidR="006D6BBB" w:rsidRPr="006C4C35">
        <w:rPr>
          <w:rFonts w:cs="Arial"/>
        </w:rPr>
        <w:t>including:</w:t>
      </w:r>
    </w:p>
    <w:p w14:paraId="42C46E3E" w14:textId="77777777" w:rsidR="00A44D3E" w:rsidRPr="006C4C35" w:rsidRDefault="00A44D3E" w:rsidP="006C4C35">
      <w:pPr>
        <w:pStyle w:val="ListParagraph"/>
        <w:numPr>
          <w:ilvl w:val="1"/>
          <w:numId w:val="26"/>
        </w:numPr>
        <w:ind w:right="386"/>
        <w:rPr>
          <w:rFonts w:cs="Arial"/>
        </w:rPr>
      </w:pPr>
      <w:r w:rsidRPr="006C4C35">
        <w:rPr>
          <w:rFonts w:cs="Arial"/>
        </w:rPr>
        <w:t>Stakeholder Benchmarking</w:t>
      </w:r>
    </w:p>
    <w:p w14:paraId="04C61D24" w14:textId="77777777" w:rsidR="00A44D3E" w:rsidRPr="006C4C35" w:rsidRDefault="00A44D3E" w:rsidP="006C4C35">
      <w:pPr>
        <w:pStyle w:val="ListParagraph"/>
        <w:numPr>
          <w:ilvl w:val="1"/>
          <w:numId w:val="26"/>
        </w:numPr>
        <w:ind w:right="386"/>
        <w:rPr>
          <w:rFonts w:cs="Arial"/>
        </w:rPr>
      </w:pPr>
      <w:r w:rsidRPr="006C4C35">
        <w:rPr>
          <w:rFonts w:cs="Arial"/>
        </w:rPr>
        <w:t>Cost benchmarking</w:t>
      </w:r>
    </w:p>
    <w:p w14:paraId="3F588EAC" w14:textId="77777777" w:rsidR="00A44D3E" w:rsidRPr="006C4C35" w:rsidRDefault="00A44D3E" w:rsidP="006C4C35">
      <w:pPr>
        <w:pStyle w:val="ListParagraph"/>
        <w:numPr>
          <w:ilvl w:val="1"/>
          <w:numId w:val="26"/>
        </w:numPr>
        <w:ind w:right="386"/>
        <w:rPr>
          <w:rFonts w:cs="Arial"/>
        </w:rPr>
      </w:pPr>
      <w:r w:rsidRPr="006C4C35">
        <w:rPr>
          <w:rFonts w:cs="Arial"/>
        </w:rPr>
        <w:t>Staff reviews</w:t>
      </w:r>
    </w:p>
    <w:p w14:paraId="436636D9" w14:textId="77777777" w:rsidR="00A44D3E" w:rsidRPr="006C4C35" w:rsidRDefault="00A44D3E" w:rsidP="006C4C35">
      <w:pPr>
        <w:pStyle w:val="ListParagraph"/>
        <w:numPr>
          <w:ilvl w:val="1"/>
          <w:numId w:val="26"/>
        </w:numPr>
        <w:ind w:right="386"/>
        <w:rPr>
          <w:rFonts w:cs="Arial"/>
        </w:rPr>
      </w:pPr>
      <w:r w:rsidRPr="006C4C35">
        <w:rPr>
          <w:rFonts w:cs="Arial"/>
        </w:rPr>
        <w:t xml:space="preserve">Mapping and review of processes for new </w:t>
      </w:r>
      <w:r w:rsidR="007C1D05" w:rsidRPr="006C4C35">
        <w:rPr>
          <w:rFonts w:cs="Arial"/>
        </w:rPr>
        <w:t>claims</w:t>
      </w:r>
      <w:r w:rsidR="006C4C35" w:rsidRPr="006C4C35">
        <w:rPr>
          <w:rFonts w:cs="Arial"/>
        </w:rPr>
        <w:t xml:space="preserve"> and change of circs</w:t>
      </w:r>
    </w:p>
    <w:p w14:paraId="4352FEEB" w14:textId="77777777" w:rsidR="006C4C35" w:rsidRPr="006C4C35" w:rsidRDefault="007C1D05" w:rsidP="006C4C35">
      <w:pPr>
        <w:pStyle w:val="ListParagraph"/>
        <w:numPr>
          <w:ilvl w:val="1"/>
          <w:numId w:val="26"/>
        </w:numPr>
        <w:ind w:right="386"/>
        <w:rPr>
          <w:rFonts w:cs="Arial"/>
        </w:rPr>
      </w:pPr>
      <w:r w:rsidRPr="006C4C35">
        <w:rPr>
          <w:rFonts w:cs="Arial"/>
        </w:rPr>
        <w:t>Reviewing</w:t>
      </w:r>
      <w:r w:rsidR="006C4C35" w:rsidRPr="006C4C35">
        <w:rPr>
          <w:rFonts w:cs="Arial"/>
        </w:rPr>
        <w:t xml:space="preserve"> system </w:t>
      </w:r>
      <w:r w:rsidRPr="006C4C35">
        <w:rPr>
          <w:rFonts w:cs="Arial"/>
        </w:rPr>
        <w:t>automation</w:t>
      </w:r>
      <w:r w:rsidR="006C4C35" w:rsidRPr="006C4C35">
        <w:rPr>
          <w:rFonts w:cs="Arial"/>
        </w:rPr>
        <w:t xml:space="preserve"> of Atlas </w:t>
      </w:r>
      <w:r w:rsidRPr="006C4C35">
        <w:rPr>
          <w:rFonts w:cs="Arial"/>
        </w:rPr>
        <w:t>changes</w:t>
      </w:r>
      <w:r w:rsidR="006C4C35" w:rsidRPr="006C4C35">
        <w:rPr>
          <w:rFonts w:cs="Arial"/>
        </w:rPr>
        <w:t xml:space="preserve"> for DWP</w:t>
      </w:r>
    </w:p>
    <w:p w14:paraId="620A6046" w14:textId="77777777" w:rsidR="006C4C35" w:rsidRPr="006C4C35" w:rsidRDefault="007C1D05" w:rsidP="006C4C35">
      <w:pPr>
        <w:pStyle w:val="ListParagraph"/>
        <w:numPr>
          <w:ilvl w:val="1"/>
          <w:numId w:val="26"/>
        </w:numPr>
        <w:ind w:right="386"/>
        <w:rPr>
          <w:rFonts w:cs="Arial"/>
        </w:rPr>
      </w:pPr>
      <w:r w:rsidRPr="006C4C35">
        <w:rPr>
          <w:rFonts w:cs="Arial"/>
        </w:rPr>
        <w:t>Introducing</w:t>
      </w:r>
      <w:r w:rsidR="006C4C35" w:rsidRPr="006C4C35">
        <w:rPr>
          <w:rFonts w:cs="Arial"/>
        </w:rPr>
        <w:t xml:space="preserve"> electronic forms for processing claims and change of circs</w:t>
      </w:r>
    </w:p>
    <w:p w14:paraId="431C54A4" w14:textId="77777777" w:rsidR="006C4C35" w:rsidRPr="006C4C35" w:rsidRDefault="006C4C35" w:rsidP="006C4C35">
      <w:pPr>
        <w:pStyle w:val="ListParagraph"/>
        <w:numPr>
          <w:ilvl w:val="1"/>
          <w:numId w:val="26"/>
        </w:numPr>
        <w:ind w:right="386"/>
        <w:rPr>
          <w:rFonts w:cs="Arial"/>
        </w:rPr>
      </w:pPr>
      <w:r w:rsidRPr="006C4C35">
        <w:rPr>
          <w:rFonts w:cs="Arial"/>
        </w:rPr>
        <w:t xml:space="preserve">Health Check on </w:t>
      </w:r>
      <w:proofErr w:type="spellStart"/>
      <w:r w:rsidRPr="006C4C35">
        <w:rPr>
          <w:rFonts w:cs="Arial"/>
        </w:rPr>
        <w:t>Info@Work</w:t>
      </w:r>
      <w:proofErr w:type="spellEnd"/>
      <w:r w:rsidRPr="006C4C35">
        <w:rPr>
          <w:rFonts w:cs="Arial"/>
        </w:rPr>
        <w:t xml:space="preserve"> system</w:t>
      </w:r>
    </w:p>
    <w:p w14:paraId="30E7F10B" w14:textId="77777777" w:rsidR="006C4C35" w:rsidRPr="006C4C35" w:rsidRDefault="006C4C35" w:rsidP="006C4C35">
      <w:pPr>
        <w:pStyle w:val="ListParagraph"/>
        <w:numPr>
          <w:ilvl w:val="1"/>
          <w:numId w:val="26"/>
        </w:numPr>
        <w:ind w:right="386"/>
        <w:rPr>
          <w:rFonts w:cs="Arial"/>
        </w:rPr>
      </w:pPr>
      <w:r w:rsidRPr="006C4C35">
        <w:rPr>
          <w:rFonts w:cs="Arial"/>
        </w:rPr>
        <w:t xml:space="preserve">Looking at </w:t>
      </w:r>
      <w:r w:rsidR="007C1D05" w:rsidRPr="006C4C35">
        <w:rPr>
          <w:rFonts w:cs="Arial"/>
        </w:rPr>
        <w:t>automation</w:t>
      </w:r>
      <w:r w:rsidRPr="006C4C35">
        <w:rPr>
          <w:rFonts w:cs="Arial"/>
        </w:rPr>
        <w:t xml:space="preserve"> of e-claim through robots</w:t>
      </w:r>
    </w:p>
    <w:p w14:paraId="4D170830" w14:textId="77777777" w:rsidR="006C4C35" w:rsidRPr="006C4C35" w:rsidRDefault="006C4C35" w:rsidP="006C4C35">
      <w:pPr>
        <w:pStyle w:val="ListParagraph"/>
        <w:numPr>
          <w:ilvl w:val="1"/>
          <w:numId w:val="26"/>
        </w:numPr>
        <w:ind w:right="386"/>
        <w:rPr>
          <w:rFonts w:cs="Arial"/>
        </w:rPr>
      </w:pPr>
      <w:r w:rsidRPr="006C4C35">
        <w:rPr>
          <w:rFonts w:cs="Arial"/>
        </w:rPr>
        <w:t xml:space="preserve">Restructure of team following introduction of UC to </w:t>
      </w:r>
      <w:r w:rsidR="007C1D05" w:rsidRPr="006C4C35">
        <w:rPr>
          <w:rFonts w:cs="Arial"/>
        </w:rPr>
        <w:t>achieve</w:t>
      </w:r>
      <w:r w:rsidRPr="006C4C35">
        <w:rPr>
          <w:rFonts w:cs="Arial"/>
        </w:rPr>
        <w:t xml:space="preserve"> £110k of savings already built into the plan</w:t>
      </w:r>
    </w:p>
    <w:p w14:paraId="07A20770" w14:textId="77777777" w:rsidR="007704A0" w:rsidRDefault="007704A0" w:rsidP="00E21005">
      <w:pPr>
        <w:ind w:right="386"/>
        <w:rPr>
          <w:rFonts w:cs="Arial"/>
        </w:rPr>
      </w:pPr>
    </w:p>
    <w:p w14:paraId="6E03F9AC" w14:textId="220D4C0B" w:rsidR="00E21005" w:rsidRPr="008D6AFC" w:rsidRDefault="00E21005" w:rsidP="008D6AFC">
      <w:pPr>
        <w:spacing w:before="240" w:after="120"/>
        <w:outlineLvl w:val="0"/>
        <w:rPr>
          <w:b/>
          <w:color w:val="000000"/>
          <w:lang w:eastAsia="en-GB"/>
        </w:rPr>
      </w:pPr>
      <w:r w:rsidRPr="008D6AFC">
        <w:rPr>
          <w:b/>
          <w:color w:val="000000"/>
          <w:lang w:eastAsia="en-GB"/>
        </w:rPr>
        <w:t xml:space="preserve">Local Authority Trading Company </w:t>
      </w:r>
    </w:p>
    <w:p w14:paraId="298E3F36" w14:textId="77777777" w:rsidR="00E21005" w:rsidRPr="00537FEF" w:rsidRDefault="006D6BBB" w:rsidP="00E21005">
      <w:pPr>
        <w:ind w:left="540" w:right="386" w:hanging="540"/>
      </w:pPr>
      <w:r w:rsidRPr="00390239">
        <w:t>5</w:t>
      </w:r>
      <w:r w:rsidR="00390239" w:rsidRPr="00390239">
        <w:t>3</w:t>
      </w:r>
      <w:r w:rsidR="00260A92" w:rsidRPr="00537FEF">
        <w:rPr>
          <w:b/>
        </w:rPr>
        <w:tab/>
      </w:r>
      <w:r w:rsidR="00260A92" w:rsidRPr="00537FEF">
        <w:t>On 1</w:t>
      </w:r>
      <w:r w:rsidR="00260A92" w:rsidRPr="00537FEF">
        <w:rPr>
          <w:vertAlign w:val="superscript"/>
        </w:rPr>
        <w:t>st</w:t>
      </w:r>
      <w:r w:rsidR="00260A92" w:rsidRPr="00537FEF">
        <w:t xml:space="preserve"> April 2016 the Council established a wholly owned local authority trading company</w:t>
      </w:r>
      <w:r w:rsidR="00E21005" w:rsidRPr="00537FEF">
        <w:t xml:space="preserve"> for service</w:t>
      </w:r>
      <w:r w:rsidR="001432E0">
        <w:t>s</w:t>
      </w:r>
      <w:r w:rsidR="00E21005" w:rsidRPr="00537FEF">
        <w:t xml:space="preserve"> currently provided by Direct Services. The company takes the form </w:t>
      </w:r>
      <w:r w:rsidR="007C1D05" w:rsidRPr="00537FEF">
        <w:t>of:</w:t>
      </w:r>
    </w:p>
    <w:p w14:paraId="511BBAAE" w14:textId="77777777" w:rsidR="00E21005" w:rsidRPr="00537FEF" w:rsidRDefault="00E21005" w:rsidP="00E21005">
      <w:pPr>
        <w:ind w:left="540" w:right="386" w:hanging="540"/>
      </w:pPr>
    </w:p>
    <w:p w14:paraId="2FD58AAA" w14:textId="77777777" w:rsidR="00E21005" w:rsidRPr="00537FEF" w:rsidRDefault="00E21005" w:rsidP="006C4C35">
      <w:pPr>
        <w:pStyle w:val="ListParagraph"/>
        <w:numPr>
          <w:ilvl w:val="0"/>
          <w:numId w:val="24"/>
        </w:numPr>
        <w:ind w:right="386"/>
      </w:pPr>
      <w:r w:rsidRPr="00537FEF">
        <w:t xml:space="preserve">A </w:t>
      </w:r>
      <w:proofErr w:type="spellStart"/>
      <w:r w:rsidRPr="00537FEF">
        <w:t>Teckal</w:t>
      </w:r>
      <w:proofErr w:type="spellEnd"/>
      <w:r w:rsidRPr="00537FEF">
        <w:t xml:space="preserve"> company (Oxford Direct Services Ltd)– providing all </w:t>
      </w:r>
      <w:r w:rsidR="007C1D05" w:rsidRPr="00537FEF">
        <w:t>statutory</w:t>
      </w:r>
      <w:r w:rsidRPr="00537FEF">
        <w:t xml:space="preserve"> services to the Council benefiting from a </w:t>
      </w:r>
      <w:r w:rsidR="007C1D05" w:rsidRPr="00537FEF">
        <w:t>procurement</w:t>
      </w:r>
      <w:r w:rsidRPr="00537FEF">
        <w:t xml:space="preserve"> exemption together with externally traded services for engineering, motor transport and </w:t>
      </w:r>
      <w:r w:rsidR="00537FEF" w:rsidRPr="00537FEF">
        <w:t>b</w:t>
      </w:r>
      <w:r w:rsidRPr="00537FEF">
        <w:t>uilding works</w:t>
      </w:r>
    </w:p>
    <w:p w14:paraId="2E35735A" w14:textId="77777777" w:rsidR="00260A92" w:rsidRPr="00537FEF" w:rsidRDefault="00E21005" w:rsidP="006C4C35">
      <w:pPr>
        <w:pStyle w:val="ListParagraph"/>
        <w:numPr>
          <w:ilvl w:val="0"/>
          <w:numId w:val="24"/>
        </w:numPr>
        <w:ind w:right="386"/>
      </w:pPr>
      <w:r w:rsidRPr="00537FEF">
        <w:t>A Trading Company (Oxford Direct Services Trading Ltd) – providing externally traded commercial waste services</w:t>
      </w:r>
    </w:p>
    <w:p w14:paraId="53970422" w14:textId="77777777" w:rsidR="00E21005" w:rsidRPr="00537FEF" w:rsidRDefault="00E21005" w:rsidP="00E21005">
      <w:pPr>
        <w:ind w:right="386"/>
      </w:pPr>
    </w:p>
    <w:p w14:paraId="63866E48" w14:textId="77777777" w:rsidR="001432E0" w:rsidRDefault="00390239" w:rsidP="00E21005">
      <w:pPr>
        <w:ind w:left="540" w:right="386" w:hanging="540"/>
      </w:pPr>
      <w:r>
        <w:t>54</w:t>
      </w:r>
      <w:r w:rsidR="006D6BBB">
        <w:tab/>
      </w:r>
      <w:r w:rsidR="001432E0">
        <w:t xml:space="preserve">There has been a significant amount of work to set the company </w:t>
      </w:r>
      <w:r w:rsidR="00BE0DF7">
        <w:t xml:space="preserve">up </w:t>
      </w:r>
      <w:r w:rsidR="001432E0">
        <w:t>before the company goes operational</w:t>
      </w:r>
      <w:r w:rsidR="00BE0DF7">
        <w:t>, involving many changes to processes and systems.</w:t>
      </w:r>
    </w:p>
    <w:p w14:paraId="3741A982" w14:textId="77777777" w:rsidR="001432E0" w:rsidRDefault="001432E0" w:rsidP="00E21005">
      <w:pPr>
        <w:ind w:left="540" w:right="386" w:hanging="540"/>
      </w:pPr>
    </w:p>
    <w:p w14:paraId="6D10A289" w14:textId="77777777" w:rsidR="00612E08" w:rsidRDefault="00390239" w:rsidP="001432E0">
      <w:pPr>
        <w:ind w:left="540" w:right="386" w:hanging="540"/>
      </w:pPr>
      <w:r>
        <w:t>55</w:t>
      </w:r>
      <w:r w:rsidR="001432E0">
        <w:tab/>
      </w:r>
      <w:r w:rsidR="00D2270F">
        <w:t xml:space="preserve">City Executive Board on 21st November </w:t>
      </w:r>
      <w:r w:rsidR="001432E0">
        <w:t xml:space="preserve">2017 </w:t>
      </w:r>
      <w:r w:rsidR="00D2270F">
        <w:t xml:space="preserve">approved </w:t>
      </w:r>
      <w:r w:rsidR="00612E08">
        <w:t xml:space="preserve">the </w:t>
      </w:r>
      <w:r w:rsidR="007C1D05">
        <w:t>Memorandum</w:t>
      </w:r>
      <w:r w:rsidR="00612E08">
        <w:t xml:space="preserve"> of Understanding which sets out the terms and conditions of the contracts between the Council and the Company for services and the transfer date of 1</w:t>
      </w:r>
      <w:r w:rsidR="00612E08" w:rsidRPr="00612E08">
        <w:rPr>
          <w:vertAlign w:val="superscript"/>
        </w:rPr>
        <w:t>ST</w:t>
      </w:r>
      <w:r w:rsidR="00612E08">
        <w:t xml:space="preserve"> April 2018 on which staff will transfer to the </w:t>
      </w:r>
      <w:r w:rsidR="007C1D05">
        <w:t>company</w:t>
      </w:r>
      <w:r w:rsidR="00612E08">
        <w:t xml:space="preserve"> and the </w:t>
      </w:r>
      <w:r w:rsidR="007C1D05">
        <w:t>company</w:t>
      </w:r>
      <w:r w:rsidR="00612E08">
        <w:t xml:space="preserve"> will become </w:t>
      </w:r>
      <w:r w:rsidR="007C1D05">
        <w:t>operational</w:t>
      </w:r>
      <w:r w:rsidR="00612E08">
        <w:t xml:space="preserve">. </w:t>
      </w:r>
    </w:p>
    <w:p w14:paraId="32385875" w14:textId="77777777" w:rsidR="001432E0" w:rsidRDefault="001432E0" w:rsidP="001432E0">
      <w:pPr>
        <w:ind w:left="540" w:right="386" w:hanging="540"/>
      </w:pPr>
    </w:p>
    <w:p w14:paraId="36A64F8E" w14:textId="552E44CD" w:rsidR="00B268FE" w:rsidRDefault="00390239" w:rsidP="00E21005">
      <w:pPr>
        <w:ind w:left="540" w:right="386" w:hanging="540"/>
        <w:rPr>
          <w:highlight w:val="yellow"/>
        </w:rPr>
      </w:pPr>
      <w:r>
        <w:t>56</w:t>
      </w:r>
      <w:r w:rsidR="006D6BBB">
        <w:tab/>
      </w:r>
      <w:r w:rsidR="00612E08">
        <w:t xml:space="preserve">The Company will be paid </w:t>
      </w:r>
      <w:r w:rsidR="00BE0DF7">
        <w:t>by the Council f</w:t>
      </w:r>
      <w:r w:rsidR="00612E08">
        <w:t xml:space="preserve">or </w:t>
      </w:r>
      <w:r w:rsidR="00537FEF" w:rsidRPr="00537FEF">
        <w:t>delivering</w:t>
      </w:r>
      <w:r w:rsidR="00E21005" w:rsidRPr="00537FEF">
        <w:t xml:space="preserve"> </w:t>
      </w:r>
      <w:r w:rsidR="00BE0DF7">
        <w:t xml:space="preserve">statutory </w:t>
      </w:r>
      <w:r w:rsidR="00612E08">
        <w:t xml:space="preserve">services </w:t>
      </w:r>
      <w:r w:rsidR="00BE0DF7">
        <w:t xml:space="preserve">such as waste collection, street cleaning and building works </w:t>
      </w:r>
      <w:r w:rsidR="00612E08">
        <w:t xml:space="preserve">and the Council will be paid under a similar arrangement for support services delivered to the company. In addition </w:t>
      </w:r>
      <w:r w:rsidR="00E21005" w:rsidRPr="00537FEF">
        <w:t xml:space="preserve">surpluses </w:t>
      </w:r>
      <w:r w:rsidR="00612E08">
        <w:t xml:space="preserve">will be delivered back to the Council from trading activities with an additional </w:t>
      </w:r>
      <w:r w:rsidR="00E21005" w:rsidRPr="00537FEF">
        <w:t xml:space="preserve">£500k per annum above the </w:t>
      </w:r>
      <w:r w:rsidR="00FB2B58">
        <w:t>MTFS</w:t>
      </w:r>
      <w:r w:rsidR="00E21005" w:rsidRPr="00537FEF">
        <w:t xml:space="preserve"> by 2020/21 </w:t>
      </w:r>
      <w:r w:rsidR="00802EFD" w:rsidRPr="00537FEF">
        <w:t xml:space="preserve">as indicated </w:t>
      </w:r>
      <w:r w:rsidR="007C1D05" w:rsidRPr="00537FEF">
        <w:t>below:</w:t>
      </w:r>
      <w:r w:rsidR="00E21005" w:rsidRPr="00537FEF">
        <w:t xml:space="preserve"> </w:t>
      </w:r>
    </w:p>
    <w:p w14:paraId="29045368" w14:textId="77777777" w:rsidR="00B25909" w:rsidRDefault="00B25909" w:rsidP="00E21005">
      <w:pPr>
        <w:ind w:left="540" w:right="386" w:hanging="540"/>
        <w:rPr>
          <w:highlight w:val="yellow"/>
        </w:rPr>
      </w:pPr>
    </w:p>
    <w:p w14:paraId="260095F3" w14:textId="77777777" w:rsidR="00537FEF" w:rsidRPr="00E21005" w:rsidRDefault="00537FEF" w:rsidP="00E21005">
      <w:pPr>
        <w:ind w:left="540" w:right="386" w:hanging="540"/>
        <w:rPr>
          <w:highlight w:val="yellow"/>
        </w:rPr>
      </w:pPr>
    </w:p>
    <w:tbl>
      <w:tblPr>
        <w:tblStyle w:val="TableGrid"/>
        <w:tblW w:w="0" w:type="auto"/>
        <w:tblLook w:val="04A0" w:firstRow="1" w:lastRow="0" w:firstColumn="1" w:lastColumn="0" w:noHBand="0" w:noVBand="1"/>
      </w:tblPr>
      <w:tblGrid>
        <w:gridCol w:w="2235"/>
        <w:gridCol w:w="1701"/>
        <w:gridCol w:w="1842"/>
        <w:gridCol w:w="1843"/>
        <w:gridCol w:w="1621"/>
      </w:tblGrid>
      <w:tr w:rsidR="00537FEF" w:rsidRPr="008309E5" w14:paraId="36A579B3" w14:textId="77777777" w:rsidTr="009136C2">
        <w:tc>
          <w:tcPr>
            <w:tcW w:w="9242" w:type="dxa"/>
            <w:gridSpan w:val="5"/>
          </w:tcPr>
          <w:p w14:paraId="7F854498" w14:textId="77777777" w:rsidR="00537FEF" w:rsidRPr="008309E5" w:rsidRDefault="008E66A7" w:rsidP="009136C2">
            <w:pPr>
              <w:rPr>
                <w:b/>
                <w:color w:val="000000"/>
              </w:rPr>
            </w:pPr>
            <w:r>
              <w:rPr>
                <w:b/>
                <w:color w:val="000000"/>
              </w:rPr>
              <w:t>Table 4 : Estimated LATCO surplus 2018-19 to 2021/22</w:t>
            </w:r>
          </w:p>
        </w:tc>
      </w:tr>
      <w:tr w:rsidR="00537FEF" w:rsidRPr="008309E5" w14:paraId="16829251" w14:textId="77777777" w:rsidTr="009136C2">
        <w:tc>
          <w:tcPr>
            <w:tcW w:w="2235" w:type="dxa"/>
          </w:tcPr>
          <w:p w14:paraId="053A92E2" w14:textId="77777777" w:rsidR="00537FEF" w:rsidRDefault="00537FEF" w:rsidP="009136C2">
            <w:pPr>
              <w:rPr>
                <w:color w:val="000000"/>
              </w:rPr>
            </w:pPr>
          </w:p>
        </w:tc>
        <w:tc>
          <w:tcPr>
            <w:tcW w:w="1701" w:type="dxa"/>
            <w:shd w:val="clear" w:color="auto" w:fill="D9D9D9" w:themeFill="background1" w:themeFillShade="D9"/>
          </w:tcPr>
          <w:p w14:paraId="3321AD30" w14:textId="77777777" w:rsidR="00537FEF" w:rsidRPr="008309E5" w:rsidRDefault="00537FEF" w:rsidP="009136C2">
            <w:pPr>
              <w:jc w:val="center"/>
              <w:rPr>
                <w:b/>
                <w:color w:val="000000"/>
              </w:rPr>
            </w:pPr>
            <w:r w:rsidRPr="008309E5">
              <w:rPr>
                <w:b/>
                <w:color w:val="000000"/>
              </w:rPr>
              <w:t>£000s</w:t>
            </w:r>
          </w:p>
        </w:tc>
        <w:tc>
          <w:tcPr>
            <w:tcW w:w="1842" w:type="dxa"/>
            <w:shd w:val="clear" w:color="auto" w:fill="D9D9D9" w:themeFill="background1" w:themeFillShade="D9"/>
          </w:tcPr>
          <w:p w14:paraId="2DFDD00C" w14:textId="77777777" w:rsidR="00537FEF" w:rsidRPr="008309E5" w:rsidRDefault="00537FEF" w:rsidP="009136C2">
            <w:pPr>
              <w:jc w:val="center"/>
              <w:rPr>
                <w:b/>
              </w:rPr>
            </w:pPr>
            <w:r w:rsidRPr="008309E5">
              <w:rPr>
                <w:b/>
                <w:color w:val="000000"/>
              </w:rPr>
              <w:t>£000s</w:t>
            </w:r>
          </w:p>
        </w:tc>
        <w:tc>
          <w:tcPr>
            <w:tcW w:w="1843" w:type="dxa"/>
            <w:shd w:val="clear" w:color="auto" w:fill="D9D9D9" w:themeFill="background1" w:themeFillShade="D9"/>
          </w:tcPr>
          <w:p w14:paraId="7D232C61" w14:textId="77777777" w:rsidR="00537FEF" w:rsidRPr="008309E5" w:rsidRDefault="00537FEF" w:rsidP="009136C2">
            <w:pPr>
              <w:jc w:val="center"/>
              <w:rPr>
                <w:b/>
              </w:rPr>
            </w:pPr>
            <w:r w:rsidRPr="008309E5">
              <w:rPr>
                <w:b/>
                <w:color w:val="000000"/>
              </w:rPr>
              <w:t>£000s</w:t>
            </w:r>
          </w:p>
        </w:tc>
        <w:tc>
          <w:tcPr>
            <w:tcW w:w="1621" w:type="dxa"/>
            <w:shd w:val="clear" w:color="auto" w:fill="D9D9D9" w:themeFill="background1" w:themeFillShade="D9"/>
          </w:tcPr>
          <w:p w14:paraId="496A8524" w14:textId="77777777" w:rsidR="00537FEF" w:rsidRPr="008309E5" w:rsidRDefault="00537FEF" w:rsidP="009136C2">
            <w:pPr>
              <w:jc w:val="center"/>
              <w:rPr>
                <w:b/>
              </w:rPr>
            </w:pPr>
            <w:r w:rsidRPr="008309E5">
              <w:rPr>
                <w:b/>
                <w:color w:val="000000"/>
              </w:rPr>
              <w:t>£000s</w:t>
            </w:r>
          </w:p>
        </w:tc>
      </w:tr>
      <w:tr w:rsidR="00537FEF" w:rsidRPr="008309E5" w14:paraId="5F310B23" w14:textId="77777777" w:rsidTr="009136C2">
        <w:tc>
          <w:tcPr>
            <w:tcW w:w="2235" w:type="dxa"/>
          </w:tcPr>
          <w:p w14:paraId="2A33F7E8" w14:textId="77777777" w:rsidR="00537FEF" w:rsidRDefault="00537FEF" w:rsidP="009136C2">
            <w:pPr>
              <w:rPr>
                <w:color w:val="000000"/>
              </w:rPr>
            </w:pPr>
          </w:p>
        </w:tc>
        <w:tc>
          <w:tcPr>
            <w:tcW w:w="1701" w:type="dxa"/>
            <w:shd w:val="clear" w:color="auto" w:fill="D9D9D9" w:themeFill="background1" w:themeFillShade="D9"/>
          </w:tcPr>
          <w:p w14:paraId="26BA47E3" w14:textId="77777777" w:rsidR="00537FEF" w:rsidRPr="008309E5" w:rsidRDefault="00537FEF" w:rsidP="009136C2">
            <w:pPr>
              <w:jc w:val="center"/>
              <w:rPr>
                <w:b/>
                <w:color w:val="000000"/>
              </w:rPr>
            </w:pPr>
            <w:r w:rsidRPr="008309E5">
              <w:rPr>
                <w:b/>
                <w:color w:val="000000"/>
              </w:rPr>
              <w:t>2018-19</w:t>
            </w:r>
          </w:p>
        </w:tc>
        <w:tc>
          <w:tcPr>
            <w:tcW w:w="1842" w:type="dxa"/>
            <w:shd w:val="clear" w:color="auto" w:fill="D9D9D9" w:themeFill="background1" w:themeFillShade="D9"/>
          </w:tcPr>
          <w:p w14:paraId="5364A9AD" w14:textId="77777777" w:rsidR="00537FEF" w:rsidRPr="008309E5" w:rsidRDefault="00537FEF" w:rsidP="009136C2">
            <w:pPr>
              <w:jc w:val="center"/>
              <w:rPr>
                <w:b/>
                <w:color w:val="000000"/>
              </w:rPr>
            </w:pPr>
            <w:r w:rsidRPr="008309E5">
              <w:rPr>
                <w:b/>
                <w:color w:val="000000"/>
              </w:rPr>
              <w:t>2019-20</w:t>
            </w:r>
          </w:p>
        </w:tc>
        <w:tc>
          <w:tcPr>
            <w:tcW w:w="1843" w:type="dxa"/>
            <w:shd w:val="clear" w:color="auto" w:fill="D9D9D9" w:themeFill="background1" w:themeFillShade="D9"/>
          </w:tcPr>
          <w:p w14:paraId="57CE465C" w14:textId="77777777" w:rsidR="00537FEF" w:rsidRPr="008309E5" w:rsidRDefault="00537FEF" w:rsidP="009136C2">
            <w:pPr>
              <w:jc w:val="center"/>
              <w:rPr>
                <w:b/>
                <w:color w:val="000000"/>
              </w:rPr>
            </w:pPr>
            <w:r w:rsidRPr="008309E5">
              <w:rPr>
                <w:b/>
                <w:color w:val="000000"/>
              </w:rPr>
              <w:t>2020-21</w:t>
            </w:r>
          </w:p>
        </w:tc>
        <w:tc>
          <w:tcPr>
            <w:tcW w:w="1621" w:type="dxa"/>
            <w:shd w:val="clear" w:color="auto" w:fill="D9D9D9" w:themeFill="background1" w:themeFillShade="D9"/>
          </w:tcPr>
          <w:p w14:paraId="1F6E2292" w14:textId="77777777" w:rsidR="00537FEF" w:rsidRPr="008309E5" w:rsidRDefault="00537FEF" w:rsidP="009136C2">
            <w:pPr>
              <w:jc w:val="center"/>
              <w:rPr>
                <w:b/>
                <w:color w:val="000000"/>
              </w:rPr>
            </w:pPr>
            <w:r w:rsidRPr="008309E5">
              <w:rPr>
                <w:b/>
                <w:color w:val="000000"/>
              </w:rPr>
              <w:t>202</w:t>
            </w:r>
            <w:r>
              <w:rPr>
                <w:b/>
                <w:color w:val="000000"/>
              </w:rPr>
              <w:t>1</w:t>
            </w:r>
            <w:r w:rsidRPr="008309E5">
              <w:rPr>
                <w:b/>
                <w:color w:val="000000"/>
              </w:rPr>
              <w:t>-2</w:t>
            </w:r>
            <w:r>
              <w:rPr>
                <w:b/>
                <w:color w:val="000000"/>
              </w:rPr>
              <w:t>2</w:t>
            </w:r>
          </w:p>
        </w:tc>
      </w:tr>
      <w:tr w:rsidR="00537FEF" w14:paraId="003C9E59" w14:textId="77777777" w:rsidTr="009136C2">
        <w:tc>
          <w:tcPr>
            <w:tcW w:w="2235" w:type="dxa"/>
          </w:tcPr>
          <w:p w14:paraId="77851E38" w14:textId="77777777" w:rsidR="00537FEF" w:rsidRDefault="00537FEF" w:rsidP="009136C2">
            <w:pPr>
              <w:rPr>
                <w:color w:val="000000"/>
              </w:rPr>
            </w:pPr>
            <w:r>
              <w:rPr>
                <w:color w:val="000000"/>
              </w:rPr>
              <w:t>Turnover</w:t>
            </w:r>
          </w:p>
        </w:tc>
        <w:tc>
          <w:tcPr>
            <w:tcW w:w="1701" w:type="dxa"/>
            <w:vAlign w:val="center"/>
          </w:tcPr>
          <w:p w14:paraId="48E548BF" w14:textId="77777777" w:rsidR="00537FEF" w:rsidRPr="00B268FE" w:rsidRDefault="00537FEF" w:rsidP="009136C2">
            <w:pPr>
              <w:jc w:val="right"/>
              <w:rPr>
                <w:b/>
                <w:color w:val="000000"/>
                <w:highlight w:val="yellow"/>
              </w:rPr>
            </w:pPr>
            <w:r w:rsidRPr="00B268FE">
              <w:rPr>
                <w:b/>
                <w:color w:val="000000"/>
              </w:rPr>
              <w:t>54,641</w:t>
            </w:r>
          </w:p>
        </w:tc>
        <w:tc>
          <w:tcPr>
            <w:tcW w:w="1842" w:type="dxa"/>
            <w:vAlign w:val="center"/>
          </w:tcPr>
          <w:p w14:paraId="1F24B1B6" w14:textId="77777777" w:rsidR="00537FEF" w:rsidRPr="00B268FE" w:rsidRDefault="00537FEF" w:rsidP="009136C2">
            <w:pPr>
              <w:jc w:val="right"/>
              <w:rPr>
                <w:b/>
                <w:color w:val="000000"/>
                <w:highlight w:val="yellow"/>
              </w:rPr>
            </w:pPr>
            <w:r w:rsidRPr="00B268FE">
              <w:rPr>
                <w:b/>
                <w:color w:val="000000"/>
              </w:rPr>
              <w:t>55,142</w:t>
            </w:r>
          </w:p>
        </w:tc>
        <w:tc>
          <w:tcPr>
            <w:tcW w:w="1843" w:type="dxa"/>
            <w:vAlign w:val="center"/>
          </w:tcPr>
          <w:p w14:paraId="5DC2634A" w14:textId="77777777" w:rsidR="00537FEF" w:rsidRPr="00B268FE" w:rsidRDefault="00537FEF" w:rsidP="009136C2">
            <w:pPr>
              <w:jc w:val="right"/>
              <w:rPr>
                <w:b/>
                <w:color w:val="000000"/>
                <w:highlight w:val="yellow"/>
              </w:rPr>
            </w:pPr>
            <w:r w:rsidRPr="00B268FE">
              <w:rPr>
                <w:b/>
                <w:color w:val="000000"/>
              </w:rPr>
              <w:t>55,440</w:t>
            </w:r>
          </w:p>
        </w:tc>
        <w:tc>
          <w:tcPr>
            <w:tcW w:w="1621" w:type="dxa"/>
            <w:vAlign w:val="center"/>
          </w:tcPr>
          <w:p w14:paraId="0567F55D" w14:textId="77777777" w:rsidR="00537FEF" w:rsidRPr="00B268FE" w:rsidRDefault="00537FEF" w:rsidP="009136C2">
            <w:pPr>
              <w:jc w:val="right"/>
              <w:rPr>
                <w:b/>
                <w:color w:val="000000"/>
                <w:highlight w:val="yellow"/>
              </w:rPr>
            </w:pPr>
            <w:r w:rsidRPr="00B268FE">
              <w:rPr>
                <w:b/>
                <w:color w:val="000000"/>
              </w:rPr>
              <w:t>55,590</w:t>
            </w:r>
          </w:p>
        </w:tc>
      </w:tr>
      <w:tr w:rsidR="00B268FE" w14:paraId="2FD95D85" w14:textId="77777777" w:rsidTr="009136C2">
        <w:tc>
          <w:tcPr>
            <w:tcW w:w="2235" w:type="dxa"/>
          </w:tcPr>
          <w:p w14:paraId="30935A3B" w14:textId="77777777" w:rsidR="00B268FE" w:rsidRPr="00B268FE" w:rsidRDefault="00B268FE" w:rsidP="009136C2">
            <w:pPr>
              <w:rPr>
                <w:b/>
                <w:color w:val="000000"/>
              </w:rPr>
            </w:pPr>
            <w:r w:rsidRPr="00B268FE">
              <w:rPr>
                <w:b/>
                <w:color w:val="000000"/>
              </w:rPr>
              <w:t>Surpluses</w:t>
            </w:r>
          </w:p>
        </w:tc>
        <w:tc>
          <w:tcPr>
            <w:tcW w:w="1701" w:type="dxa"/>
          </w:tcPr>
          <w:p w14:paraId="1FF94F1F" w14:textId="77777777" w:rsidR="00B268FE" w:rsidRDefault="00B268FE" w:rsidP="009136C2">
            <w:pPr>
              <w:jc w:val="right"/>
            </w:pPr>
          </w:p>
        </w:tc>
        <w:tc>
          <w:tcPr>
            <w:tcW w:w="1842" w:type="dxa"/>
          </w:tcPr>
          <w:p w14:paraId="3A5D1747" w14:textId="77777777" w:rsidR="00B268FE" w:rsidRDefault="00B268FE" w:rsidP="009136C2">
            <w:pPr>
              <w:jc w:val="right"/>
            </w:pPr>
          </w:p>
        </w:tc>
        <w:tc>
          <w:tcPr>
            <w:tcW w:w="1843" w:type="dxa"/>
          </w:tcPr>
          <w:p w14:paraId="2052CF6B" w14:textId="77777777" w:rsidR="00B268FE" w:rsidRDefault="00B268FE" w:rsidP="009136C2">
            <w:pPr>
              <w:jc w:val="right"/>
            </w:pPr>
          </w:p>
        </w:tc>
        <w:tc>
          <w:tcPr>
            <w:tcW w:w="1621" w:type="dxa"/>
          </w:tcPr>
          <w:p w14:paraId="23EC006F" w14:textId="77777777" w:rsidR="00B268FE" w:rsidRDefault="00B268FE" w:rsidP="009136C2">
            <w:pPr>
              <w:jc w:val="right"/>
            </w:pPr>
          </w:p>
        </w:tc>
      </w:tr>
      <w:tr w:rsidR="00537FEF" w14:paraId="629D492C" w14:textId="77777777" w:rsidTr="009136C2">
        <w:tc>
          <w:tcPr>
            <w:tcW w:w="2235" w:type="dxa"/>
          </w:tcPr>
          <w:p w14:paraId="40E57DD3" w14:textId="77777777" w:rsidR="00537FEF" w:rsidRDefault="00537FEF" w:rsidP="009136C2">
            <w:pPr>
              <w:rPr>
                <w:color w:val="000000"/>
              </w:rPr>
            </w:pPr>
            <w:proofErr w:type="spellStart"/>
            <w:r>
              <w:rPr>
                <w:color w:val="000000"/>
              </w:rPr>
              <w:t>Teckal</w:t>
            </w:r>
            <w:proofErr w:type="spellEnd"/>
            <w:r>
              <w:rPr>
                <w:color w:val="000000"/>
              </w:rPr>
              <w:t xml:space="preserve"> Company</w:t>
            </w:r>
          </w:p>
        </w:tc>
        <w:tc>
          <w:tcPr>
            <w:tcW w:w="1701" w:type="dxa"/>
          </w:tcPr>
          <w:p w14:paraId="3F18DE92" w14:textId="77777777" w:rsidR="00537FEF" w:rsidRPr="000B22D4" w:rsidRDefault="00537FEF" w:rsidP="009136C2">
            <w:pPr>
              <w:jc w:val="right"/>
            </w:pPr>
            <w:r>
              <w:t>425</w:t>
            </w:r>
          </w:p>
        </w:tc>
        <w:tc>
          <w:tcPr>
            <w:tcW w:w="1842" w:type="dxa"/>
          </w:tcPr>
          <w:p w14:paraId="381F557D" w14:textId="77777777" w:rsidR="00537FEF" w:rsidRPr="000B22D4" w:rsidRDefault="00537FEF" w:rsidP="009136C2">
            <w:pPr>
              <w:jc w:val="right"/>
            </w:pPr>
            <w:r>
              <w:t>543</w:t>
            </w:r>
          </w:p>
        </w:tc>
        <w:tc>
          <w:tcPr>
            <w:tcW w:w="1843" w:type="dxa"/>
          </w:tcPr>
          <w:p w14:paraId="251F7D12" w14:textId="77777777" w:rsidR="00537FEF" w:rsidRPr="000B22D4" w:rsidRDefault="00537FEF" w:rsidP="009136C2">
            <w:pPr>
              <w:jc w:val="right"/>
            </w:pPr>
            <w:r>
              <w:t>628</w:t>
            </w:r>
          </w:p>
        </w:tc>
        <w:tc>
          <w:tcPr>
            <w:tcW w:w="1621" w:type="dxa"/>
          </w:tcPr>
          <w:p w14:paraId="440DDB27" w14:textId="77777777" w:rsidR="00537FEF" w:rsidRPr="000B22D4" w:rsidRDefault="00537FEF" w:rsidP="009136C2">
            <w:pPr>
              <w:jc w:val="right"/>
            </w:pPr>
            <w:r>
              <w:t>768</w:t>
            </w:r>
          </w:p>
        </w:tc>
      </w:tr>
      <w:tr w:rsidR="00537FEF" w14:paraId="57DFD247" w14:textId="77777777" w:rsidTr="009136C2">
        <w:tc>
          <w:tcPr>
            <w:tcW w:w="2235" w:type="dxa"/>
          </w:tcPr>
          <w:p w14:paraId="470D0D4D" w14:textId="77777777" w:rsidR="00537FEF" w:rsidRDefault="00537FEF" w:rsidP="009136C2">
            <w:pPr>
              <w:rPr>
                <w:color w:val="000000"/>
              </w:rPr>
            </w:pPr>
            <w:r>
              <w:rPr>
                <w:color w:val="000000"/>
              </w:rPr>
              <w:t>Trading</w:t>
            </w:r>
          </w:p>
        </w:tc>
        <w:tc>
          <w:tcPr>
            <w:tcW w:w="1701" w:type="dxa"/>
          </w:tcPr>
          <w:p w14:paraId="5AC42786" w14:textId="77777777" w:rsidR="00537FEF" w:rsidRPr="000B22D4" w:rsidRDefault="00537FEF" w:rsidP="009136C2">
            <w:pPr>
              <w:jc w:val="right"/>
            </w:pPr>
            <w:r>
              <w:t>953</w:t>
            </w:r>
          </w:p>
        </w:tc>
        <w:tc>
          <w:tcPr>
            <w:tcW w:w="1842" w:type="dxa"/>
          </w:tcPr>
          <w:p w14:paraId="322D36BE" w14:textId="77777777" w:rsidR="00537FEF" w:rsidRPr="000B22D4" w:rsidRDefault="00537FEF" w:rsidP="009136C2">
            <w:pPr>
              <w:jc w:val="right"/>
            </w:pPr>
            <w:r w:rsidRPr="000B22D4">
              <w:t>1,</w:t>
            </w:r>
            <w:r>
              <w:t>004</w:t>
            </w:r>
          </w:p>
        </w:tc>
        <w:tc>
          <w:tcPr>
            <w:tcW w:w="1843" w:type="dxa"/>
          </w:tcPr>
          <w:p w14:paraId="0B99E28E" w14:textId="77777777" w:rsidR="00537FEF" w:rsidRPr="000B22D4" w:rsidRDefault="00537FEF" w:rsidP="009136C2">
            <w:pPr>
              <w:jc w:val="right"/>
            </w:pPr>
            <w:r w:rsidRPr="000B22D4">
              <w:t>1,</w:t>
            </w:r>
            <w:r>
              <w:t>043</w:t>
            </w:r>
          </w:p>
        </w:tc>
        <w:tc>
          <w:tcPr>
            <w:tcW w:w="1621" w:type="dxa"/>
          </w:tcPr>
          <w:p w14:paraId="299518A9" w14:textId="77777777" w:rsidR="00537FEF" w:rsidRPr="000B22D4" w:rsidRDefault="00537FEF" w:rsidP="009136C2">
            <w:pPr>
              <w:jc w:val="right"/>
            </w:pPr>
            <w:r w:rsidRPr="000B22D4">
              <w:t>1,</w:t>
            </w:r>
            <w:r>
              <w:t>083</w:t>
            </w:r>
          </w:p>
        </w:tc>
      </w:tr>
      <w:tr w:rsidR="00537FEF" w:rsidRPr="009A3891" w14:paraId="6FA103C4" w14:textId="77777777" w:rsidTr="009136C2">
        <w:tc>
          <w:tcPr>
            <w:tcW w:w="2235" w:type="dxa"/>
          </w:tcPr>
          <w:p w14:paraId="4092C130" w14:textId="77777777" w:rsidR="00537FEF" w:rsidRDefault="00537FEF" w:rsidP="009136C2">
            <w:pPr>
              <w:rPr>
                <w:color w:val="000000"/>
              </w:rPr>
            </w:pPr>
            <w:r>
              <w:rPr>
                <w:color w:val="000000"/>
              </w:rPr>
              <w:t>Profit before tax</w:t>
            </w:r>
          </w:p>
        </w:tc>
        <w:tc>
          <w:tcPr>
            <w:tcW w:w="1701" w:type="dxa"/>
          </w:tcPr>
          <w:p w14:paraId="590A2EA5" w14:textId="77777777" w:rsidR="00537FEF" w:rsidRPr="009A3891" w:rsidRDefault="00537FEF" w:rsidP="009136C2">
            <w:pPr>
              <w:jc w:val="right"/>
              <w:rPr>
                <w:b/>
                <w:color w:val="000000"/>
              </w:rPr>
            </w:pPr>
            <w:r w:rsidRPr="009A3891">
              <w:rPr>
                <w:b/>
                <w:color w:val="000000"/>
              </w:rPr>
              <w:t>1,</w:t>
            </w:r>
            <w:r>
              <w:rPr>
                <w:b/>
                <w:color w:val="000000"/>
              </w:rPr>
              <w:t>378</w:t>
            </w:r>
          </w:p>
        </w:tc>
        <w:tc>
          <w:tcPr>
            <w:tcW w:w="1842" w:type="dxa"/>
          </w:tcPr>
          <w:p w14:paraId="76AC5278" w14:textId="77777777" w:rsidR="00537FEF" w:rsidRPr="009A3891" w:rsidRDefault="00537FEF" w:rsidP="009136C2">
            <w:pPr>
              <w:jc w:val="right"/>
              <w:rPr>
                <w:b/>
                <w:color w:val="000000"/>
              </w:rPr>
            </w:pPr>
            <w:r w:rsidRPr="009A3891">
              <w:rPr>
                <w:b/>
                <w:color w:val="000000"/>
              </w:rPr>
              <w:t>1,</w:t>
            </w:r>
            <w:r>
              <w:rPr>
                <w:b/>
                <w:color w:val="000000"/>
              </w:rPr>
              <w:t>547</w:t>
            </w:r>
          </w:p>
        </w:tc>
        <w:tc>
          <w:tcPr>
            <w:tcW w:w="1843" w:type="dxa"/>
          </w:tcPr>
          <w:p w14:paraId="4BE4C053" w14:textId="77777777" w:rsidR="00537FEF" w:rsidRPr="009A3891" w:rsidRDefault="00537FEF" w:rsidP="009136C2">
            <w:pPr>
              <w:jc w:val="right"/>
              <w:rPr>
                <w:b/>
                <w:color w:val="000000"/>
              </w:rPr>
            </w:pPr>
            <w:r w:rsidRPr="009A3891">
              <w:rPr>
                <w:b/>
                <w:color w:val="000000"/>
              </w:rPr>
              <w:t>1,</w:t>
            </w:r>
            <w:r>
              <w:rPr>
                <w:b/>
                <w:color w:val="000000"/>
              </w:rPr>
              <w:t>671</w:t>
            </w:r>
          </w:p>
        </w:tc>
        <w:tc>
          <w:tcPr>
            <w:tcW w:w="1621" w:type="dxa"/>
          </w:tcPr>
          <w:p w14:paraId="21B31E60" w14:textId="77777777" w:rsidR="00537FEF" w:rsidRPr="009A3891" w:rsidRDefault="00537FEF" w:rsidP="009136C2">
            <w:pPr>
              <w:jc w:val="right"/>
              <w:rPr>
                <w:b/>
                <w:color w:val="000000"/>
              </w:rPr>
            </w:pPr>
            <w:r w:rsidRPr="009A3891">
              <w:rPr>
                <w:b/>
                <w:color w:val="000000"/>
              </w:rPr>
              <w:t>1,</w:t>
            </w:r>
            <w:r>
              <w:rPr>
                <w:b/>
                <w:color w:val="000000"/>
              </w:rPr>
              <w:t>851</w:t>
            </w:r>
          </w:p>
        </w:tc>
      </w:tr>
      <w:tr w:rsidR="00537FEF" w14:paraId="51FDF3B2" w14:textId="77777777" w:rsidTr="009136C2">
        <w:tc>
          <w:tcPr>
            <w:tcW w:w="2235" w:type="dxa"/>
          </w:tcPr>
          <w:p w14:paraId="0F1A6D91" w14:textId="77777777" w:rsidR="00537FEF" w:rsidRDefault="00537FEF" w:rsidP="009136C2">
            <w:pPr>
              <w:rPr>
                <w:color w:val="000000"/>
              </w:rPr>
            </w:pPr>
            <w:r>
              <w:rPr>
                <w:color w:val="000000"/>
              </w:rPr>
              <w:t>Corporation Tax</w:t>
            </w:r>
          </w:p>
        </w:tc>
        <w:tc>
          <w:tcPr>
            <w:tcW w:w="1701" w:type="dxa"/>
          </w:tcPr>
          <w:p w14:paraId="03EA14CB" w14:textId="77777777" w:rsidR="00537FEF" w:rsidRDefault="00537FEF" w:rsidP="009136C2">
            <w:pPr>
              <w:jc w:val="right"/>
              <w:rPr>
                <w:color w:val="000000"/>
              </w:rPr>
            </w:pPr>
            <w:r>
              <w:rPr>
                <w:color w:val="000000"/>
              </w:rPr>
              <w:t>(262)</w:t>
            </w:r>
          </w:p>
        </w:tc>
        <w:tc>
          <w:tcPr>
            <w:tcW w:w="1842" w:type="dxa"/>
          </w:tcPr>
          <w:p w14:paraId="462C5D4D" w14:textId="77777777" w:rsidR="00537FEF" w:rsidRDefault="00537FEF" w:rsidP="009136C2">
            <w:pPr>
              <w:jc w:val="right"/>
              <w:rPr>
                <w:color w:val="000000"/>
              </w:rPr>
            </w:pPr>
            <w:r>
              <w:rPr>
                <w:color w:val="000000"/>
              </w:rPr>
              <w:t>(263)</w:t>
            </w:r>
          </w:p>
        </w:tc>
        <w:tc>
          <w:tcPr>
            <w:tcW w:w="1843" w:type="dxa"/>
          </w:tcPr>
          <w:p w14:paraId="2F043D99" w14:textId="77777777" w:rsidR="00537FEF" w:rsidRDefault="00537FEF" w:rsidP="009136C2">
            <w:pPr>
              <w:jc w:val="right"/>
              <w:rPr>
                <w:color w:val="000000"/>
              </w:rPr>
            </w:pPr>
            <w:r>
              <w:rPr>
                <w:color w:val="000000"/>
              </w:rPr>
              <w:t>(284)</w:t>
            </w:r>
          </w:p>
        </w:tc>
        <w:tc>
          <w:tcPr>
            <w:tcW w:w="1621" w:type="dxa"/>
          </w:tcPr>
          <w:p w14:paraId="50BBDC44" w14:textId="77777777" w:rsidR="00537FEF" w:rsidRDefault="00537FEF" w:rsidP="009136C2">
            <w:pPr>
              <w:jc w:val="right"/>
              <w:rPr>
                <w:color w:val="000000"/>
              </w:rPr>
            </w:pPr>
            <w:r>
              <w:rPr>
                <w:color w:val="000000"/>
              </w:rPr>
              <w:t>(315)</w:t>
            </w:r>
          </w:p>
        </w:tc>
      </w:tr>
      <w:tr w:rsidR="00537FEF" w:rsidRPr="009A3891" w14:paraId="77A059BB" w14:textId="77777777" w:rsidTr="009136C2">
        <w:trPr>
          <w:trHeight w:val="259"/>
        </w:trPr>
        <w:tc>
          <w:tcPr>
            <w:tcW w:w="2235" w:type="dxa"/>
          </w:tcPr>
          <w:p w14:paraId="167AC916" w14:textId="77777777" w:rsidR="00537FEF" w:rsidRDefault="00537FEF" w:rsidP="009136C2">
            <w:pPr>
              <w:rPr>
                <w:color w:val="000000"/>
              </w:rPr>
            </w:pPr>
            <w:r>
              <w:rPr>
                <w:color w:val="000000"/>
              </w:rPr>
              <w:t>Profit after tax</w:t>
            </w:r>
          </w:p>
        </w:tc>
        <w:tc>
          <w:tcPr>
            <w:tcW w:w="1701" w:type="dxa"/>
          </w:tcPr>
          <w:p w14:paraId="7F810729" w14:textId="77777777" w:rsidR="00537FEF" w:rsidRPr="009A3891" w:rsidRDefault="00537FEF" w:rsidP="009136C2">
            <w:pPr>
              <w:jc w:val="right"/>
              <w:rPr>
                <w:b/>
                <w:color w:val="000000"/>
              </w:rPr>
            </w:pPr>
            <w:r>
              <w:rPr>
                <w:b/>
                <w:color w:val="000000"/>
              </w:rPr>
              <w:t>1,116</w:t>
            </w:r>
          </w:p>
        </w:tc>
        <w:tc>
          <w:tcPr>
            <w:tcW w:w="1842" w:type="dxa"/>
          </w:tcPr>
          <w:p w14:paraId="13FCBC9D" w14:textId="77777777" w:rsidR="00537FEF" w:rsidRPr="009A3891" w:rsidRDefault="00537FEF" w:rsidP="009136C2">
            <w:pPr>
              <w:jc w:val="right"/>
              <w:rPr>
                <w:b/>
                <w:color w:val="000000"/>
              </w:rPr>
            </w:pPr>
            <w:r>
              <w:rPr>
                <w:b/>
                <w:color w:val="000000"/>
              </w:rPr>
              <w:t>1,284</w:t>
            </w:r>
          </w:p>
        </w:tc>
        <w:tc>
          <w:tcPr>
            <w:tcW w:w="1843" w:type="dxa"/>
          </w:tcPr>
          <w:p w14:paraId="61DC8B4E" w14:textId="77777777" w:rsidR="00537FEF" w:rsidRPr="009A3891" w:rsidRDefault="00537FEF" w:rsidP="009136C2">
            <w:pPr>
              <w:jc w:val="right"/>
              <w:rPr>
                <w:b/>
                <w:color w:val="000000"/>
              </w:rPr>
            </w:pPr>
            <w:r>
              <w:rPr>
                <w:b/>
                <w:color w:val="000000"/>
              </w:rPr>
              <w:t>1,387</w:t>
            </w:r>
          </w:p>
        </w:tc>
        <w:tc>
          <w:tcPr>
            <w:tcW w:w="1621" w:type="dxa"/>
          </w:tcPr>
          <w:p w14:paraId="64D918FC" w14:textId="77777777" w:rsidR="00537FEF" w:rsidRPr="009A3891" w:rsidRDefault="00537FEF" w:rsidP="009136C2">
            <w:pPr>
              <w:jc w:val="right"/>
              <w:rPr>
                <w:b/>
                <w:color w:val="000000"/>
              </w:rPr>
            </w:pPr>
            <w:r>
              <w:rPr>
                <w:b/>
                <w:color w:val="000000"/>
              </w:rPr>
              <w:t>1,536</w:t>
            </w:r>
          </w:p>
        </w:tc>
      </w:tr>
    </w:tbl>
    <w:p w14:paraId="5D9F4122" w14:textId="77777777" w:rsidR="00260A92" w:rsidRDefault="00260A92" w:rsidP="007C20F4">
      <w:pPr>
        <w:ind w:right="386" w:firstLine="540"/>
        <w:rPr>
          <w:b/>
          <w:highlight w:val="yellow"/>
        </w:rPr>
      </w:pPr>
    </w:p>
    <w:p w14:paraId="4192AC43" w14:textId="77777777" w:rsidR="00260A92" w:rsidRDefault="00260A92" w:rsidP="007C20F4">
      <w:pPr>
        <w:ind w:right="386" w:firstLine="540"/>
        <w:rPr>
          <w:b/>
          <w:highlight w:val="yellow"/>
        </w:rPr>
      </w:pPr>
    </w:p>
    <w:p w14:paraId="31093F36" w14:textId="77777777" w:rsidR="00D14370" w:rsidRDefault="00D14370" w:rsidP="007C20F4">
      <w:pPr>
        <w:ind w:right="386" w:firstLine="540"/>
        <w:rPr>
          <w:b/>
          <w:highlight w:val="yellow"/>
        </w:rPr>
      </w:pPr>
    </w:p>
    <w:p w14:paraId="4ACADA27" w14:textId="77777777" w:rsidR="00D14370" w:rsidRDefault="00D14370" w:rsidP="007C20F4">
      <w:pPr>
        <w:ind w:right="386" w:firstLine="540"/>
        <w:rPr>
          <w:b/>
          <w:highlight w:val="yellow"/>
        </w:rPr>
      </w:pPr>
    </w:p>
    <w:p w14:paraId="631FD458" w14:textId="77777777" w:rsidR="00D14370" w:rsidRDefault="00D14370" w:rsidP="007C20F4">
      <w:pPr>
        <w:ind w:right="386" w:firstLine="540"/>
        <w:rPr>
          <w:b/>
          <w:highlight w:val="yellow"/>
        </w:rPr>
      </w:pPr>
    </w:p>
    <w:p w14:paraId="57222D6D" w14:textId="77777777" w:rsidR="00D14370" w:rsidRDefault="00D14370" w:rsidP="007C20F4">
      <w:pPr>
        <w:ind w:right="386" w:firstLine="540"/>
        <w:rPr>
          <w:b/>
          <w:highlight w:val="yellow"/>
        </w:rPr>
      </w:pPr>
    </w:p>
    <w:p w14:paraId="5535994B" w14:textId="77777777" w:rsidR="00D14370" w:rsidRDefault="00D14370" w:rsidP="007C20F4">
      <w:pPr>
        <w:ind w:right="386" w:firstLine="540"/>
        <w:rPr>
          <w:b/>
          <w:highlight w:val="yellow"/>
        </w:rPr>
      </w:pPr>
    </w:p>
    <w:p w14:paraId="32E76A4C" w14:textId="77777777" w:rsidR="00EF3552" w:rsidRPr="008D6AFC" w:rsidRDefault="00F22B3F" w:rsidP="008D6AFC">
      <w:pPr>
        <w:spacing w:before="240" w:after="120"/>
        <w:outlineLvl w:val="0"/>
        <w:rPr>
          <w:b/>
          <w:color w:val="000000"/>
          <w:lang w:eastAsia="en-GB"/>
        </w:rPr>
      </w:pPr>
      <w:r w:rsidRPr="008D6AFC">
        <w:rPr>
          <w:b/>
          <w:color w:val="000000"/>
          <w:lang w:eastAsia="en-GB"/>
        </w:rPr>
        <w:t xml:space="preserve">Planning Assumptions </w:t>
      </w:r>
    </w:p>
    <w:p w14:paraId="72E5A4EC" w14:textId="77777777" w:rsidR="00B8025B" w:rsidRPr="00471A6E" w:rsidRDefault="00390239" w:rsidP="00B8025B">
      <w:pPr>
        <w:ind w:left="567" w:right="386" w:hanging="567"/>
      </w:pPr>
      <w:r>
        <w:t>57</w:t>
      </w:r>
      <w:r w:rsidR="006D6BBB">
        <w:tab/>
      </w:r>
      <w:r w:rsidR="00B8025B" w:rsidRPr="00471A6E">
        <w:t>The following planning assumptions are included within the Medium Term Financial Strategy:</w:t>
      </w:r>
    </w:p>
    <w:p w14:paraId="42FE57DF" w14:textId="77777777" w:rsidR="00B8025B" w:rsidRPr="00471A6E" w:rsidRDefault="00B8025B" w:rsidP="00B8025B">
      <w:pPr>
        <w:ind w:left="567" w:right="386" w:hanging="567"/>
        <w:rPr>
          <w:u w:val="single"/>
        </w:rPr>
      </w:pPr>
    </w:p>
    <w:p w14:paraId="327DE925" w14:textId="77777777" w:rsidR="00B8025B" w:rsidRPr="008D231E" w:rsidRDefault="00B8025B" w:rsidP="00B8025B">
      <w:pPr>
        <w:numPr>
          <w:ilvl w:val="0"/>
          <w:numId w:val="2"/>
        </w:numPr>
        <w:tabs>
          <w:tab w:val="num" w:pos="1134"/>
          <w:tab w:val="num" w:pos="2190"/>
        </w:tabs>
        <w:spacing w:after="120"/>
        <w:ind w:left="1134" w:right="386" w:hanging="567"/>
      </w:pPr>
      <w:r w:rsidRPr="00894B8A">
        <w:rPr>
          <w:rFonts w:cs="Arial"/>
          <w:b/>
        </w:rPr>
        <w:t>Base Budget</w:t>
      </w:r>
      <w:r w:rsidRPr="00894B8A">
        <w:rPr>
          <w:rFonts w:cs="Arial"/>
        </w:rPr>
        <w:t xml:space="preserve"> - The starting point for planning is the 201</w:t>
      </w:r>
      <w:r w:rsidR="00894B8A" w:rsidRPr="00894B8A">
        <w:rPr>
          <w:rFonts w:cs="Arial"/>
        </w:rPr>
        <w:t>7</w:t>
      </w:r>
      <w:r w:rsidRPr="00894B8A">
        <w:rPr>
          <w:rFonts w:cs="Arial"/>
        </w:rPr>
        <w:t>-1</w:t>
      </w:r>
      <w:r w:rsidR="00894B8A" w:rsidRPr="00894B8A">
        <w:rPr>
          <w:rFonts w:cs="Arial"/>
        </w:rPr>
        <w:t>8</w:t>
      </w:r>
      <w:r w:rsidRPr="00894B8A">
        <w:rPr>
          <w:rFonts w:cs="Arial"/>
        </w:rPr>
        <w:t xml:space="preserve"> base budget position as agreed by Council in February 201</w:t>
      </w:r>
      <w:r w:rsidR="00894B8A" w:rsidRPr="00894B8A">
        <w:rPr>
          <w:rFonts w:cs="Arial"/>
        </w:rPr>
        <w:t>7</w:t>
      </w:r>
      <w:r w:rsidRPr="00894B8A">
        <w:rPr>
          <w:rFonts w:cs="Arial"/>
        </w:rPr>
        <w:t xml:space="preserve">, adjusted for any one-off savings and growth. </w:t>
      </w:r>
    </w:p>
    <w:p w14:paraId="2365EFD5" w14:textId="77777777" w:rsidR="008D231E" w:rsidRPr="00471A6E" w:rsidRDefault="008D231E" w:rsidP="00717ADE">
      <w:pPr>
        <w:numPr>
          <w:ilvl w:val="0"/>
          <w:numId w:val="2"/>
        </w:numPr>
        <w:tabs>
          <w:tab w:val="clear" w:pos="2629"/>
          <w:tab w:val="num" w:pos="1134"/>
        </w:tabs>
        <w:spacing w:after="120"/>
        <w:ind w:left="1134" w:hanging="567"/>
        <w:rPr>
          <w:rFonts w:cs="Arial"/>
          <w:color w:val="000000"/>
        </w:rPr>
      </w:pPr>
      <w:r w:rsidRPr="00471A6E">
        <w:rPr>
          <w:b/>
        </w:rPr>
        <w:t>Council Tax Increase</w:t>
      </w:r>
      <w:r w:rsidRPr="00471A6E">
        <w:t xml:space="preserve"> – The current assumption is for a 1.99% rise per annum for the four years of the plan on the basis that increases will be capped at 2%. </w:t>
      </w:r>
    </w:p>
    <w:p w14:paraId="18AE8B7C" w14:textId="6B12604F" w:rsidR="008D231E" w:rsidRPr="00B268FE" w:rsidRDefault="008D231E" w:rsidP="008D231E">
      <w:pPr>
        <w:numPr>
          <w:ilvl w:val="0"/>
          <w:numId w:val="2"/>
        </w:numPr>
        <w:tabs>
          <w:tab w:val="num" w:pos="1134"/>
          <w:tab w:val="left" w:pos="2160"/>
        </w:tabs>
        <w:spacing w:after="120"/>
        <w:ind w:left="1134" w:hanging="567"/>
        <w:rPr>
          <w:rFonts w:cs="Arial"/>
          <w:color w:val="000000"/>
        </w:rPr>
      </w:pPr>
      <w:r w:rsidRPr="00471A6E">
        <w:rPr>
          <w:b/>
          <w:color w:val="000000"/>
        </w:rPr>
        <w:t>Investment Interest</w:t>
      </w:r>
      <w:r w:rsidRPr="00471A6E">
        <w:rPr>
          <w:color w:val="000000"/>
        </w:rPr>
        <w:t xml:space="preserve"> – The Bank of England base rate is </w:t>
      </w:r>
      <w:r w:rsidR="00EF07CC">
        <w:rPr>
          <w:color w:val="000000"/>
        </w:rPr>
        <w:t xml:space="preserve">currently </w:t>
      </w:r>
      <w:r w:rsidRPr="00471A6E">
        <w:rPr>
          <w:color w:val="000000"/>
        </w:rPr>
        <w:t>0.50%</w:t>
      </w:r>
      <w:r w:rsidR="00EF07CC">
        <w:rPr>
          <w:color w:val="000000"/>
        </w:rPr>
        <w:t>.</w:t>
      </w:r>
      <w:r w:rsidR="00824A2A">
        <w:rPr>
          <w:color w:val="000000"/>
        </w:rPr>
        <w:t xml:space="preserve">  </w:t>
      </w:r>
      <w:r w:rsidR="00233DEA">
        <w:rPr>
          <w:color w:val="000000"/>
        </w:rPr>
        <w:t>Interest</w:t>
      </w:r>
      <w:r w:rsidRPr="00471A6E">
        <w:rPr>
          <w:color w:val="000000"/>
        </w:rPr>
        <w:t xml:space="preserve"> rate</w:t>
      </w:r>
      <w:r w:rsidR="00EF07CC">
        <w:rPr>
          <w:color w:val="000000"/>
        </w:rPr>
        <w:t xml:space="preserve"> projections</w:t>
      </w:r>
      <w:r w:rsidRPr="00471A6E">
        <w:rPr>
          <w:color w:val="000000"/>
        </w:rPr>
        <w:t xml:space="preserve"> in the </w:t>
      </w:r>
      <w:r w:rsidR="00FB2B58">
        <w:rPr>
          <w:color w:val="000000"/>
        </w:rPr>
        <w:t>MTFS</w:t>
      </w:r>
      <w:r w:rsidRPr="00471A6E">
        <w:rPr>
          <w:color w:val="000000"/>
        </w:rPr>
        <w:t xml:space="preserve"> range from 0.3% to 0.5%</w:t>
      </w:r>
      <w:r w:rsidR="00824A2A">
        <w:rPr>
          <w:color w:val="000000"/>
        </w:rPr>
        <w:t xml:space="preserve"> over </w:t>
      </w:r>
      <w:r w:rsidRPr="00471A6E">
        <w:rPr>
          <w:color w:val="000000"/>
        </w:rPr>
        <w:t>the next four years</w:t>
      </w:r>
      <w:r w:rsidR="00233DEA">
        <w:rPr>
          <w:color w:val="000000"/>
        </w:rPr>
        <w:t xml:space="preserve"> in </w:t>
      </w:r>
      <w:proofErr w:type="gramStart"/>
      <w:r w:rsidR="00233DEA">
        <w:rPr>
          <w:color w:val="000000"/>
        </w:rPr>
        <w:t xml:space="preserve">line </w:t>
      </w:r>
      <w:r w:rsidR="00824A2A">
        <w:rPr>
          <w:color w:val="000000"/>
        </w:rPr>
        <w:t xml:space="preserve"> with</w:t>
      </w:r>
      <w:proofErr w:type="gramEnd"/>
      <w:r w:rsidR="00824A2A">
        <w:rPr>
          <w:color w:val="000000"/>
        </w:rPr>
        <w:t xml:space="preserve"> forecasts</w:t>
      </w:r>
      <w:r w:rsidRPr="00471A6E">
        <w:rPr>
          <w:color w:val="000000"/>
        </w:rPr>
        <w:t xml:space="preserve">. </w:t>
      </w:r>
      <w:r>
        <w:rPr>
          <w:color w:val="000000"/>
        </w:rPr>
        <w:t>The Council currently benefits from a number of property investments :</w:t>
      </w:r>
    </w:p>
    <w:p w14:paraId="7B29C3FF" w14:textId="77777777" w:rsidR="008D231E" w:rsidRDefault="008D231E" w:rsidP="008D231E">
      <w:pPr>
        <w:numPr>
          <w:ilvl w:val="1"/>
          <w:numId w:val="2"/>
        </w:numPr>
        <w:tabs>
          <w:tab w:val="left" w:pos="2160"/>
          <w:tab w:val="num" w:pos="2629"/>
        </w:tabs>
        <w:spacing w:after="120"/>
        <w:rPr>
          <w:rFonts w:cs="Arial"/>
          <w:color w:val="000000"/>
        </w:rPr>
      </w:pPr>
      <w:r>
        <w:rPr>
          <w:b/>
          <w:color w:val="000000"/>
        </w:rPr>
        <w:t xml:space="preserve">External Managed Property Investments </w:t>
      </w:r>
      <w:r>
        <w:rPr>
          <w:rFonts w:cs="Arial"/>
          <w:color w:val="000000"/>
        </w:rPr>
        <w:t xml:space="preserve">– The Council has £10 million invested in two funds. The Council makes a return of around </w:t>
      </w:r>
      <w:r w:rsidR="00C40A8F">
        <w:rPr>
          <w:rFonts w:cs="Arial"/>
          <w:color w:val="000000"/>
        </w:rPr>
        <w:t>3</w:t>
      </w:r>
      <w:r>
        <w:rPr>
          <w:rFonts w:cs="Arial"/>
          <w:color w:val="000000"/>
        </w:rPr>
        <w:t>.5% plus any increase in the capital value</w:t>
      </w:r>
    </w:p>
    <w:p w14:paraId="0C51176F" w14:textId="77777777" w:rsidR="008D231E" w:rsidRDefault="008D231E" w:rsidP="008D231E">
      <w:pPr>
        <w:numPr>
          <w:ilvl w:val="1"/>
          <w:numId w:val="2"/>
        </w:numPr>
        <w:tabs>
          <w:tab w:val="left" w:pos="2160"/>
          <w:tab w:val="num" w:pos="2629"/>
        </w:tabs>
        <w:spacing w:after="120"/>
        <w:rPr>
          <w:rFonts w:cs="Arial"/>
          <w:color w:val="000000"/>
        </w:rPr>
      </w:pPr>
      <w:proofErr w:type="spellStart"/>
      <w:r>
        <w:rPr>
          <w:b/>
          <w:color w:val="000000"/>
        </w:rPr>
        <w:t>OxWed</w:t>
      </w:r>
      <w:proofErr w:type="spellEnd"/>
      <w:r>
        <w:rPr>
          <w:b/>
          <w:color w:val="000000"/>
        </w:rPr>
        <w:t xml:space="preserve"> Development </w:t>
      </w:r>
      <w:r>
        <w:rPr>
          <w:rFonts w:cs="Arial"/>
          <w:color w:val="000000"/>
        </w:rPr>
        <w:t xml:space="preserve">– The Council has made loans of approximately </w:t>
      </w:r>
      <w:r w:rsidR="00C40A8F">
        <w:rPr>
          <w:rFonts w:cs="Arial"/>
          <w:color w:val="000000"/>
        </w:rPr>
        <w:t>£6.5 million</w:t>
      </w:r>
      <w:r>
        <w:rPr>
          <w:rFonts w:cs="Arial"/>
          <w:color w:val="000000"/>
        </w:rPr>
        <w:t xml:space="preserve"> into its 50/50 Joint venture with Nuffield College which attracts a return of 6.5%</w:t>
      </w:r>
      <w:r w:rsidR="00C40A8F">
        <w:rPr>
          <w:rFonts w:cs="Arial"/>
          <w:color w:val="000000"/>
        </w:rPr>
        <w:t xml:space="preserve"> and has agreed to loan a further £4.1 million in December 2017 on similar terms.</w:t>
      </w:r>
    </w:p>
    <w:p w14:paraId="1DFCB24D" w14:textId="0B656346" w:rsidR="008D231E" w:rsidRPr="00471A6E" w:rsidRDefault="008D231E" w:rsidP="008D231E">
      <w:pPr>
        <w:numPr>
          <w:ilvl w:val="1"/>
          <w:numId w:val="2"/>
        </w:numPr>
        <w:tabs>
          <w:tab w:val="left" w:pos="2160"/>
          <w:tab w:val="num" w:pos="2629"/>
        </w:tabs>
        <w:spacing w:after="120"/>
        <w:rPr>
          <w:rFonts w:cs="Arial"/>
          <w:color w:val="000000"/>
        </w:rPr>
      </w:pPr>
      <w:r>
        <w:rPr>
          <w:b/>
          <w:color w:val="000000"/>
        </w:rPr>
        <w:t xml:space="preserve">Housing Company </w:t>
      </w:r>
      <w:r>
        <w:rPr>
          <w:rFonts w:cs="Arial"/>
          <w:color w:val="000000"/>
        </w:rPr>
        <w:t xml:space="preserve">– The Council </w:t>
      </w:r>
      <w:r w:rsidR="000B409C">
        <w:rPr>
          <w:rFonts w:cs="Arial"/>
          <w:color w:val="000000"/>
        </w:rPr>
        <w:t>has agreed a loan facility</w:t>
      </w:r>
      <w:r w:rsidR="00B3030F">
        <w:rPr>
          <w:rFonts w:cs="Arial"/>
          <w:color w:val="000000"/>
        </w:rPr>
        <w:t xml:space="preserve"> </w:t>
      </w:r>
      <w:r w:rsidR="001432E0">
        <w:rPr>
          <w:rFonts w:cs="Arial"/>
          <w:color w:val="000000"/>
        </w:rPr>
        <w:t>for the first four years</w:t>
      </w:r>
      <w:r w:rsidR="00B3030F">
        <w:rPr>
          <w:rFonts w:cs="Arial"/>
          <w:color w:val="000000"/>
        </w:rPr>
        <w:t xml:space="preserve"> </w:t>
      </w:r>
      <w:r w:rsidR="001432E0">
        <w:rPr>
          <w:rFonts w:cs="Arial"/>
          <w:color w:val="000000"/>
        </w:rPr>
        <w:t xml:space="preserve">with </w:t>
      </w:r>
      <w:r>
        <w:rPr>
          <w:rFonts w:cs="Arial"/>
          <w:color w:val="000000"/>
        </w:rPr>
        <w:t xml:space="preserve">Oxford City </w:t>
      </w:r>
      <w:r w:rsidR="00A32C96">
        <w:rPr>
          <w:rFonts w:cs="Arial"/>
          <w:color w:val="000000"/>
        </w:rPr>
        <w:t>Housing</w:t>
      </w:r>
      <w:r>
        <w:rPr>
          <w:rFonts w:cs="Arial"/>
          <w:color w:val="000000"/>
        </w:rPr>
        <w:t xml:space="preserve"> Ltd</w:t>
      </w:r>
      <w:r w:rsidR="00B3030F">
        <w:rPr>
          <w:rFonts w:cs="Arial"/>
          <w:color w:val="000000"/>
        </w:rPr>
        <w:t xml:space="preserve">, </w:t>
      </w:r>
      <w:r w:rsidR="00F07CDC">
        <w:rPr>
          <w:rFonts w:cs="Arial"/>
          <w:color w:val="000000"/>
        </w:rPr>
        <w:t>of £61 million</w:t>
      </w:r>
      <w:r w:rsidR="00413A47">
        <w:rPr>
          <w:rFonts w:cs="Arial"/>
          <w:color w:val="000000"/>
        </w:rPr>
        <w:t>.  The Council</w:t>
      </w:r>
      <w:r>
        <w:rPr>
          <w:rFonts w:cs="Arial"/>
          <w:color w:val="000000"/>
        </w:rPr>
        <w:t xml:space="preserve"> makes a return above that which it borrows from PWLB.  The Council has already loaned </w:t>
      </w:r>
      <w:r w:rsidR="00C40A8F">
        <w:rPr>
          <w:rFonts w:cs="Arial"/>
          <w:color w:val="000000"/>
        </w:rPr>
        <w:t>£742k</w:t>
      </w:r>
      <w:r>
        <w:rPr>
          <w:rFonts w:cs="Arial"/>
          <w:color w:val="000000"/>
        </w:rPr>
        <w:t xml:space="preserve"> to the Company in respect of the acquisition of properties in 2016-17. All loans will be at state aid compliant rates</w:t>
      </w:r>
      <w:r w:rsidR="000A4D0E">
        <w:rPr>
          <w:rFonts w:cs="Arial"/>
          <w:color w:val="000000"/>
        </w:rPr>
        <w:t>,</w:t>
      </w:r>
      <w:r>
        <w:rPr>
          <w:rFonts w:cs="Arial"/>
          <w:color w:val="000000"/>
        </w:rPr>
        <w:t xml:space="preserve"> which for social housing activity is 1% over PWLB and for </w:t>
      </w:r>
      <w:r w:rsidR="007C1D05">
        <w:rPr>
          <w:rFonts w:cs="Arial"/>
          <w:color w:val="000000"/>
        </w:rPr>
        <w:t>non-social</w:t>
      </w:r>
      <w:r>
        <w:rPr>
          <w:rFonts w:cs="Arial"/>
          <w:color w:val="000000"/>
        </w:rPr>
        <w:t xml:space="preserve"> housing at </w:t>
      </w:r>
      <w:r w:rsidR="00D21162">
        <w:rPr>
          <w:rFonts w:cs="Arial"/>
          <w:color w:val="000000"/>
        </w:rPr>
        <w:t>4%</w:t>
      </w:r>
      <w:r>
        <w:rPr>
          <w:rFonts w:cs="Arial"/>
          <w:color w:val="000000"/>
        </w:rPr>
        <w:t xml:space="preserve"> above PWLB. </w:t>
      </w:r>
      <w:r w:rsidR="007C1D05">
        <w:rPr>
          <w:rFonts w:cs="Arial"/>
          <w:color w:val="000000"/>
        </w:rPr>
        <w:t>Interest currently included in the Council</w:t>
      </w:r>
      <w:r w:rsidR="009B577E">
        <w:rPr>
          <w:rFonts w:cs="Arial"/>
          <w:color w:val="000000"/>
        </w:rPr>
        <w:t>’s</w:t>
      </w:r>
      <w:r w:rsidR="007C1D05">
        <w:rPr>
          <w:rFonts w:cs="Arial"/>
          <w:color w:val="000000"/>
        </w:rPr>
        <w:t xml:space="preserve"> </w:t>
      </w:r>
      <w:r w:rsidR="00FB2B58">
        <w:rPr>
          <w:rFonts w:cs="Arial"/>
          <w:color w:val="000000"/>
        </w:rPr>
        <w:t>MTFS</w:t>
      </w:r>
      <w:r w:rsidR="007C1D05">
        <w:rPr>
          <w:rFonts w:cs="Arial"/>
          <w:color w:val="000000"/>
        </w:rPr>
        <w:t xml:space="preserve"> over the next four years is £1.8million and is dependent on the Company undertaking the developments and drawing down the loans and the company continuing to take the loans from the Council, which are currently competitive in the market.     </w:t>
      </w:r>
    </w:p>
    <w:p w14:paraId="0250F790" w14:textId="77777777" w:rsidR="00B8025B" w:rsidRPr="00894B8A" w:rsidRDefault="00B8025B" w:rsidP="00B8025B">
      <w:pPr>
        <w:numPr>
          <w:ilvl w:val="0"/>
          <w:numId w:val="2"/>
        </w:numPr>
        <w:tabs>
          <w:tab w:val="num" w:pos="1134"/>
        </w:tabs>
        <w:spacing w:after="120"/>
        <w:ind w:left="1134" w:right="386" w:hanging="567"/>
        <w:rPr>
          <w:rFonts w:cs="Arial"/>
        </w:rPr>
      </w:pPr>
      <w:r w:rsidRPr="00894B8A">
        <w:rPr>
          <w:rFonts w:cs="Arial"/>
          <w:b/>
        </w:rPr>
        <w:t>Inflation</w:t>
      </w:r>
      <w:r w:rsidRPr="00894B8A">
        <w:rPr>
          <w:rFonts w:cs="Arial"/>
        </w:rPr>
        <w:t xml:space="preserve"> –Most budgets are cash limited. Over the period CPI is expected to increase to </w:t>
      </w:r>
      <w:r w:rsidR="00894B8A">
        <w:rPr>
          <w:rFonts w:cs="Arial"/>
        </w:rPr>
        <w:t>2%-</w:t>
      </w:r>
      <w:r w:rsidRPr="00894B8A">
        <w:rPr>
          <w:rFonts w:cs="Arial"/>
        </w:rPr>
        <w:t xml:space="preserve">3% which could squeeze budgets harder. </w:t>
      </w:r>
    </w:p>
    <w:p w14:paraId="7735FCA4" w14:textId="77777777" w:rsidR="00B8025B" w:rsidRPr="00E5571F" w:rsidRDefault="00B8025B" w:rsidP="00B8025B">
      <w:pPr>
        <w:numPr>
          <w:ilvl w:val="0"/>
          <w:numId w:val="2"/>
        </w:numPr>
        <w:tabs>
          <w:tab w:val="num" w:pos="1134"/>
          <w:tab w:val="num" w:pos="2190"/>
        </w:tabs>
        <w:spacing w:after="120"/>
        <w:ind w:left="1134" w:right="386" w:hanging="567"/>
        <w:rPr>
          <w:rFonts w:cs="Arial"/>
        </w:rPr>
      </w:pPr>
      <w:r w:rsidRPr="00E5571F">
        <w:rPr>
          <w:rFonts w:cs="Arial"/>
          <w:b/>
        </w:rPr>
        <w:t>Pay Assumptions</w:t>
      </w:r>
      <w:r w:rsidRPr="00E5571F">
        <w:rPr>
          <w:rFonts w:cs="Arial"/>
        </w:rPr>
        <w:t xml:space="preserve"> – </w:t>
      </w:r>
      <w:r w:rsidR="00E5571F" w:rsidRPr="00E5571F">
        <w:rPr>
          <w:rFonts w:cs="Arial"/>
        </w:rPr>
        <w:t>D</w:t>
      </w:r>
      <w:r w:rsidRPr="00E5571F">
        <w:rPr>
          <w:rFonts w:cs="Arial"/>
        </w:rPr>
        <w:t xml:space="preserve">uring 2017/18 </w:t>
      </w:r>
      <w:r w:rsidR="005D7C7D">
        <w:rPr>
          <w:rFonts w:cs="Arial"/>
        </w:rPr>
        <w:t xml:space="preserve">a new </w:t>
      </w:r>
      <w:r w:rsidR="00E5571F" w:rsidRPr="00E5571F">
        <w:rPr>
          <w:rFonts w:cs="Arial"/>
        </w:rPr>
        <w:t xml:space="preserve">pay deal </w:t>
      </w:r>
      <w:r w:rsidR="005D7C7D">
        <w:rPr>
          <w:rFonts w:cs="Arial"/>
        </w:rPr>
        <w:t>was agreed</w:t>
      </w:r>
      <w:r w:rsidR="00E5571F" w:rsidRPr="00E5571F">
        <w:rPr>
          <w:rFonts w:cs="Arial"/>
        </w:rPr>
        <w:t xml:space="preserve"> in respect of the three year period commencing </w:t>
      </w:r>
      <w:r w:rsidRPr="00E5571F">
        <w:rPr>
          <w:rFonts w:cs="Arial"/>
        </w:rPr>
        <w:t>1/4/18.</w:t>
      </w:r>
      <w:r w:rsidR="00E5571F" w:rsidRPr="00E5571F">
        <w:rPr>
          <w:rFonts w:cs="Arial"/>
        </w:rPr>
        <w:t xml:space="preserve"> </w:t>
      </w:r>
      <w:r w:rsidR="009956C0">
        <w:rPr>
          <w:rFonts w:cs="Arial"/>
        </w:rPr>
        <w:t xml:space="preserve">In accordance with the agreement the </w:t>
      </w:r>
      <w:r w:rsidR="00DD46B0">
        <w:rPr>
          <w:rFonts w:cs="Arial"/>
        </w:rPr>
        <w:t>MTFS makes provision for</w:t>
      </w:r>
      <w:r w:rsidR="00E5571F" w:rsidRPr="00E5571F">
        <w:rPr>
          <w:rFonts w:cs="Arial"/>
        </w:rPr>
        <w:t xml:space="preserve"> increases base</w:t>
      </w:r>
      <w:r w:rsidR="00132F27">
        <w:rPr>
          <w:rFonts w:cs="Arial"/>
        </w:rPr>
        <w:t>d on the higher of 1.25% or £575</w:t>
      </w:r>
      <w:r w:rsidR="00DD46B0">
        <w:rPr>
          <w:rFonts w:cs="Arial"/>
        </w:rPr>
        <w:t xml:space="preserve">  </w:t>
      </w:r>
      <w:r w:rsidR="00E5571F" w:rsidRPr="00E5571F">
        <w:rPr>
          <w:rFonts w:cs="Arial"/>
        </w:rPr>
        <w:t xml:space="preserve"> the reinstatement of spinal point increases with effect from 1/</w:t>
      </w:r>
      <w:r w:rsidR="00525353">
        <w:rPr>
          <w:rFonts w:cs="Arial"/>
        </w:rPr>
        <w:t>10</w:t>
      </w:r>
      <w:r w:rsidR="00E5571F" w:rsidRPr="00E5571F">
        <w:rPr>
          <w:rFonts w:cs="Arial"/>
        </w:rPr>
        <w:t xml:space="preserve">/2019 and the removal of the partnership payment. </w:t>
      </w:r>
    </w:p>
    <w:p w14:paraId="6D2A1BA9" w14:textId="77777777" w:rsidR="00B8025B" w:rsidRPr="008F561B" w:rsidRDefault="00B8025B" w:rsidP="00B8025B">
      <w:pPr>
        <w:numPr>
          <w:ilvl w:val="0"/>
          <w:numId w:val="2"/>
        </w:numPr>
        <w:tabs>
          <w:tab w:val="clear" w:pos="2629"/>
          <w:tab w:val="num" w:pos="1134"/>
        </w:tabs>
        <w:spacing w:after="120"/>
        <w:ind w:left="1134" w:right="386" w:hanging="567"/>
        <w:rPr>
          <w:rFonts w:cs="Arial"/>
        </w:rPr>
      </w:pPr>
      <w:r w:rsidRPr="00E5571F">
        <w:rPr>
          <w:rFonts w:cs="Arial"/>
          <w:b/>
        </w:rPr>
        <w:t>Pensions</w:t>
      </w:r>
      <w:r w:rsidRPr="00E5571F">
        <w:rPr>
          <w:rFonts w:cs="Arial"/>
        </w:rPr>
        <w:t xml:space="preserve"> - The M</w:t>
      </w:r>
      <w:r w:rsidRPr="008F561B">
        <w:rPr>
          <w:rFonts w:cs="Arial"/>
        </w:rPr>
        <w:t>edium Term Financial Strategy includes an increase from the current contribution in line with pay inflation increases</w:t>
      </w:r>
      <w:r w:rsidR="00E5571F" w:rsidRPr="008F561B">
        <w:rPr>
          <w:rFonts w:cs="Arial"/>
        </w:rPr>
        <w:t xml:space="preserve"> and the results of the recent triennial review with effect from 1/4/2017</w:t>
      </w:r>
      <w:r w:rsidRPr="008F561B">
        <w:rPr>
          <w:rFonts w:cs="Arial"/>
        </w:rPr>
        <w:t xml:space="preserve">.  </w:t>
      </w:r>
    </w:p>
    <w:p w14:paraId="03740B86" w14:textId="77777777" w:rsidR="00B8025B" w:rsidRPr="008F561B" w:rsidRDefault="00B8025B" w:rsidP="00B8025B">
      <w:pPr>
        <w:tabs>
          <w:tab w:val="left" w:pos="1134"/>
        </w:tabs>
        <w:spacing w:after="120"/>
        <w:ind w:left="1134" w:right="386" w:hanging="567"/>
      </w:pPr>
      <w:r w:rsidRPr="008F561B">
        <w:t>g)</w:t>
      </w:r>
      <w:r w:rsidRPr="008F561B">
        <w:rPr>
          <w:b/>
        </w:rPr>
        <w:tab/>
        <w:t xml:space="preserve">Increases in Fees and Charges </w:t>
      </w:r>
      <w:r w:rsidRPr="008F561B">
        <w:t xml:space="preserve">–Fees and charges are projected to increase by £2.3 million over the 4 years to 2020-21. In 2017-18 there are increases in the areas shown below details of which are given in Appendix 8. </w:t>
      </w:r>
    </w:p>
    <w:p w14:paraId="15EAC12A" w14:textId="77777777" w:rsidR="00B8025B" w:rsidRPr="008F561B" w:rsidRDefault="00B8025B" w:rsidP="00390239">
      <w:pPr>
        <w:numPr>
          <w:ilvl w:val="2"/>
          <w:numId w:val="38"/>
        </w:numPr>
        <w:tabs>
          <w:tab w:val="left" w:pos="2127"/>
        </w:tabs>
        <w:ind w:left="1418" w:right="386" w:firstLine="0"/>
      </w:pPr>
      <w:r w:rsidRPr="008F561B">
        <w:t>Garden waste bins - £2 per bin per year</w:t>
      </w:r>
    </w:p>
    <w:p w14:paraId="6A01258C" w14:textId="32FC12AE" w:rsidR="00B8025B" w:rsidRPr="008F561B" w:rsidRDefault="00B8025B" w:rsidP="00390239">
      <w:pPr>
        <w:numPr>
          <w:ilvl w:val="2"/>
          <w:numId w:val="38"/>
        </w:numPr>
        <w:tabs>
          <w:tab w:val="left" w:pos="2127"/>
        </w:tabs>
        <w:ind w:left="1560" w:right="386" w:firstLine="0"/>
      </w:pPr>
      <w:r w:rsidRPr="008F561B">
        <w:t xml:space="preserve">Pre-application advice for planning services </w:t>
      </w:r>
      <w:r w:rsidR="000A4D0E">
        <w:t>4%</w:t>
      </w:r>
    </w:p>
    <w:p w14:paraId="490A5C07" w14:textId="77777777" w:rsidR="00B8025B" w:rsidRPr="008F561B" w:rsidRDefault="00B8025B" w:rsidP="00390239">
      <w:pPr>
        <w:numPr>
          <w:ilvl w:val="2"/>
          <w:numId w:val="38"/>
        </w:numPr>
        <w:tabs>
          <w:tab w:val="left" w:pos="1560"/>
          <w:tab w:val="left" w:pos="2127"/>
        </w:tabs>
        <w:ind w:left="2127" w:right="386" w:hanging="567"/>
      </w:pPr>
      <w:r w:rsidRPr="008F561B">
        <w:t xml:space="preserve">        Leisure activities </w:t>
      </w:r>
    </w:p>
    <w:p w14:paraId="2D794F29" w14:textId="77777777" w:rsidR="00B8025B" w:rsidRPr="008F561B" w:rsidRDefault="005E168B" w:rsidP="00390239">
      <w:pPr>
        <w:numPr>
          <w:ilvl w:val="0"/>
          <w:numId w:val="16"/>
        </w:numPr>
        <w:tabs>
          <w:tab w:val="num" w:pos="1560"/>
          <w:tab w:val="left" w:pos="2127"/>
        </w:tabs>
        <w:ind w:right="386" w:firstLine="142"/>
      </w:pPr>
      <w:r w:rsidRPr="008F561B">
        <w:t xml:space="preserve">Casual </w:t>
      </w:r>
      <w:r w:rsidR="00B8025B" w:rsidRPr="008F561B">
        <w:t xml:space="preserve">Swimming – </w:t>
      </w:r>
      <w:r w:rsidRPr="008F561B">
        <w:t>10</w:t>
      </w:r>
      <w:r w:rsidR="00B8025B" w:rsidRPr="008F561B">
        <w:t>p (</w:t>
      </w:r>
      <w:r w:rsidRPr="008F561B">
        <w:t>2.2</w:t>
      </w:r>
      <w:r w:rsidR="00B8025B" w:rsidRPr="008F561B">
        <w:t>%)</w:t>
      </w:r>
    </w:p>
    <w:p w14:paraId="21DEB0D6" w14:textId="77777777" w:rsidR="00B8025B" w:rsidRPr="008F561B" w:rsidRDefault="00B8025B" w:rsidP="00390239">
      <w:pPr>
        <w:numPr>
          <w:ilvl w:val="0"/>
          <w:numId w:val="16"/>
        </w:numPr>
        <w:tabs>
          <w:tab w:val="num" w:pos="1560"/>
          <w:tab w:val="left" w:pos="2127"/>
        </w:tabs>
        <w:ind w:right="386" w:firstLine="142"/>
      </w:pPr>
      <w:r w:rsidRPr="008F561B">
        <w:t xml:space="preserve">Adult gym – </w:t>
      </w:r>
      <w:r w:rsidR="005E168B" w:rsidRPr="008F561B">
        <w:t>20</w:t>
      </w:r>
      <w:r w:rsidRPr="008F561B">
        <w:t>p (</w:t>
      </w:r>
      <w:r w:rsidR="005E168B" w:rsidRPr="008F561B">
        <w:t>2.4</w:t>
      </w:r>
      <w:r w:rsidRPr="008F561B">
        <w:t>%)</w:t>
      </w:r>
    </w:p>
    <w:p w14:paraId="7732CC85" w14:textId="77777777" w:rsidR="00B8025B" w:rsidRPr="008F561B" w:rsidRDefault="00261E41" w:rsidP="00390239">
      <w:pPr>
        <w:numPr>
          <w:ilvl w:val="0"/>
          <w:numId w:val="16"/>
        </w:numPr>
        <w:tabs>
          <w:tab w:val="num" w:pos="1560"/>
          <w:tab w:val="left" w:pos="2127"/>
        </w:tabs>
        <w:ind w:right="386" w:firstLine="142"/>
      </w:pPr>
      <w:r w:rsidRPr="008F561B">
        <w:t xml:space="preserve">Adult </w:t>
      </w:r>
      <w:proofErr w:type="gramStart"/>
      <w:r w:rsidR="00B8025B" w:rsidRPr="008F561B">
        <w:t>Skating  -</w:t>
      </w:r>
      <w:proofErr w:type="gramEnd"/>
      <w:r w:rsidR="00B8025B" w:rsidRPr="008F561B">
        <w:t xml:space="preserve"> </w:t>
      </w:r>
      <w:r w:rsidR="005E168B" w:rsidRPr="008F561B">
        <w:t>20</w:t>
      </w:r>
      <w:r w:rsidR="00B8025B" w:rsidRPr="008F561B">
        <w:t>p (</w:t>
      </w:r>
      <w:r w:rsidR="005E168B" w:rsidRPr="008F561B">
        <w:t>2.4</w:t>
      </w:r>
      <w:r w:rsidR="00B8025B" w:rsidRPr="008F561B">
        <w:t>%)</w:t>
      </w:r>
    </w:p>
    <w:p w14:paraId="72DCEECB" w14:textId="77777777" w:rsidR="00B8025B" w:rsidRPr="008F561B" w:rsidRDefault="00261E41" w:rsidP="00390239">
      <w:pPr>
        <w:numPr>
          <w:ilvl w:val="0"/>
          <w:numId w:val="16"/>
        </w:numPr>
        <w:tabs>
          <w:tab w:val="num" w:pos="1560"/>
          <w:tab w:val="left" w:pos="2127"/>
        </w:tabs>
        <w:ind w:right="386" w:firstLine="142"/>
      </w:pPr>
      <w:r w:rsidRPr="008F561B">
        <w:t xml:space="preserve">Adult </w:t>
      </w:r>
      <w:r w:rsidR="00B8025B" w:rsidRPr="008F561B">
        <w:t xml:space="preserve">Tennis – reduction </w:t>
      </w:r>
      <w:r w:rsidRPr="008F561B">
        <w:t>50p</w:t>
      </w:r>
      <w:r w:rsidR="00B8025B" w:rsidRPr="008F561B">
        <w:t xml:space="preserve"> (</w:t>
      </w:r>
      <w:r w:rsidRPr="008F561B">
        <w:t>8.3</w:t>
      </w:r>
      <w:r w:rsidR="00B8025B" w:rsidRPr="008F561B">
        <w:t>%)</w:t>
      </w:r>
    </w:p>
    <w:p w14:paraId="20C1D1EA" w14:textId="77777777" w:rsidR="00B8025B" w:rsidRPr="008F561B" w:rsidRDefault="00B8025B" w:rsidP="00390239">
      <w:pPr>
        <w:numPr>
          <w:ilvl w:val="2"/>
          <w:numId w:val="38"/>
        </w:numPr>
        <w:tabs>
          <w:tab w:val="left" w:pos="2127"/>
        </w:tabs>
        <w:ind w:left="2127" w:right="386" w:hanging="567"/>
      </w:pPr>
      <w:r w:rsidRPr="008F561B">
        <w:t xml:space="preserve">Pest Control increases </w:t>
      </w:r>
      <w:r w:rsidR="00261E41" w:rsidRPr="008F561B">
        <w:t xml:space="preserve">for rats and mice </w:t>
      </w:r>
      <w:r w:rsidRPr="008F561B">
        <w:t>£</w:t>
      </w:r>
      <w:r w:rsidR="00261E41" w:rsidRPr="008F561B">
        <w:t>1</w:t>
      </w:r>
      <w:r w:rsidRPr="008F561B">
        <w:t xml:space="preserve">0 </w:t>
      </w:r>
      <w:r w:rsidR="00261E41" w:rsidRPr="008F561B">
        <w:t xml:space="preserve">increases to </w:t>
      </w:r>
      <w:r w:rsidRPr="008F561B">
        <w:t>more accurately reflecting the cost of the service</w:t>
      </w:r>
    </w:p>
    <w:p w14:paraId="469ED4B3" w14:textId="60DAB164" w:rsidR="00B8025B" w:rsidRPr="008F561B" w:rsidRDefault="00B8025B" w:rsidP="00390239">
      <w:pPr>
        <w:numPr>
          <w:ilvl w:val="2"/>
          <w:numId w:val="38"/>
        </w:numPr>
        <w:tabs>
          <w:tab w:val="left" w:pos="2127"/>
        </w:tabs>
        <w:ind w:left="1418" w:right="386" w:firstLine="142"/>
      </w:pPr>
      <w:r w:rsidRPr="008F561B">
        <w:t>Cemeteries increases range from 1.0% to 2.</w:t>
      </w:r>
      <w:r w:rsidR="00261E41" w:rsidRPr="008F561B">
        <w:t>5</w:t>
      </w:r>
      <w:r w:rsidRPr="008F561B">
        <w:t>% - £</w:t>
      </w:r>
      <w:r w:rsidR="00261E41" w:rsidRPr="008F561B">
        <w:t>5</w:t>
      </w:r>
      <w:r w:rsidRPr="008F561B">
        <w:t xml:space="preserve"> to £20  </w:t>
      </w:r>
    </w:p>
    <w:p w14:paraId="5652B6EF" w14:textId="44F57111" w:rsidR="00B8025B" w:rsidRPr="00FD0D00" w:rsidRDefault="00B8025B" w:rsidP="00390239">
      <w:pPr>
        <w:numPr>
          <w:ilvl w:val="2"/>
          <w:numId w:val="38"/>
        </w:numPr>
        <w:tabs>
          <w:tab w:val="left" w:pos="2127"/>
        </w:tabs>
        <w:ind w:left="2127" w:right="386" w:hanging="567"/>
      </w:pPr>
      <w:r w:rsidRPr="00FD0D00">
        <w:t xml:space="preserve">Off street Car Parking – </w:t>
      </w:r>
      <w:r w:rsidR="000A4D0E">
        <w:t xml:space="preserve">No change in </w:t>
      </w:r>
      <w:proofErr w:type="spellStart"/>
      <w:r w:rsidR="000A4D0E">
        <w:t>Oxpens</w:t>
      </w:r>
      <w:proofErr w:type="spellEnd"/>
      <w:r w:rsidR="000A4D0E">
        <w:t xml:space="preserve"> car </w:t>
      </w:r>
      <w:proofErr w:type="gramStart"/>
      <w:r w:rsidR="000A4D0E">
        <w:t>park,</w:t>
      </w:r>
      <w:proofErr w:type="gramEnd"/>
      <w:r w:rsidR="000A4D0E">
        <w:t xml:space="preserve"> </w:t>
      </w:r>
      <w:r w:rsidR="00261E41" w:rsidRPr="00FD0D00">
        <w:t xml:space="preserve">increases of </w:t>
      </w:r>
      <w:r w:rsidR="000E0192" w:rsidRPr="00FD0D00">
        <w:t>up to 50p per hour</w:t>
      </w:r>
      <w:r w:rsidR="00FD0D00" w:rsidRPr="00FD0D00">
        <w:t xml:space="preserve"> for</w:t>
      </w:r>
      <w:r w:rsidR="000F0435">
        <w:t xml:space="preserve"> premium</w:t>
      </w:r>
      <w:r w:rsidR="00FD0D00" w:rsidRPr="00FD0D00">
        <w:t xml:space="preserve"> city centre car parks</w:t>
      </w:r>
      <w:r w:rsidR="000F0435">
        <w:t xml:space="preserve"> (Gloucester Green and Worcester Street) and at some suburban car parks, with lower increases in parks</w:t>
      </w:r>
      <w:r w:rsidR="004C37C3">
        <w:t>.  Offsetting this, it is proposed</w:t>
      </w:r>
      <w:r w:rsidR="000F0435">
        <w:t xml:space="preserve"> not</w:t>
      </w:r>
      <w:r w:rsidR="004C37C3">
        <w:t xml:space="preserve"> to implement the previously planned increase in Park and Ride charges at this time.</w:t>
      </w:r>
      <w:r w:rsidR="000F0435">
        <w:t xml:space="preserve">  Westgate Car Park charges are not set by the City Council.</w:t>
      </w:r>
    </w:p>
    <w:p w14:paraId="3E40DBD8" w14:textId="77777777" w:rsidR="00B8025B" w:rsidRPr="008F561B" w:rsidRDefault="00B8025B" w:rsidP="00390239">
      <w:pPr>
        <w:numPr>
          <w:ilvl w:val="2"/>
          <w:numId w:val="38"/>
        </w:numPr>
        <w:tabs>
          <w:tab w:val="left" w:pos="2127"/>
        </w:tabs>
        <w:ind w:left="1418" w:right="386" w:firstLine="142"/>
      </w:pPr>
      <w:r w:rsidRPr="008F561B">
        <w:t xml:space="preserve">Garages </w:t>
      </w:r>
      <w:r w:rsidR="00261E41" w:rsidRPr="008F561B">
        <w:t>–</w:t>
      </w:r>
      <w:r w:rsidRPr="008F561B">
        <w:t xml:space="preserve"> </w:t>
      </w:r>
      <w:r w:rsidR="00261E41" w:rsidRPr="008F561B">
        <w:t>65p</w:t>
      </w:r>
      <w:r w:rsidRPr="008F561B">
        <w:t xml:space="preserve"> per week (</w:t>
      </w:r>
      <w:r w:rsidR="00261E41" w:rsidRPr="008F561B">
        <w:t>4.3</w:t>
      </w:r>
      <w:r w:rsidRPr="008F561B">
        <w:t xml:space="preserve">%). </w:t>
      </w:r>
    </w:p>
    <w:p w14:paraId="593ED252" w14:textId="77777777" w:rsidR="00B8025B" w:rsidRPr="008F561B" w:rsidRDefault="00B8025B" w:rsidP="00390239">
      <w:pPr>
        <w:tabs>
          <w:tab w:val="left" w:pos="2160"/>
        </w:tabs>
        <w:ind w:right="386"/>
      </w:pPr>
    </w:p>
    <w:p w14:paraId="5A17805C" w14:textId="77777777" w:rsidR="00717ADE" w:rsidRDefault="00717ADE" w:rsidP="00570712">
      <w:pPr>
        <w:tabs>
          <w:tab w:val="left" w:pos="1276"/>
        </w:tabs>
        <w:spacing w:after="120"/>
        <w:ind w:left="720" w:right="386"/>
      </w:pPr>
    </w:p>
    <w:p w14:paraId="52A42AD4" w14:textId="77777777" w:rsidR="002A049F" w:rsidRPr="00E21005" w:rsidRDefault="00717ADE" w:rsidP="00D67314">
      <w:pPr>
        <w:tabs>
          <w:tab w:val="left" w:pos="1276"/>
        </w:tabs>
        <w:spacing w:after="120"/>
        <w:ind w:left="993" w:right="386" w:hanging="426"/>
      </w:pPr>
      <w:r w:rsidRPr="00390239">
        <w:t>h)</w:t>
      </w:r>
      <w:r>
        <w:rPr>
          <w:b/>
        </w:rPr>
        <w:t xml:space="preserve"> </w:t>
      </w:r>
      <w:r w:rsidR="00D67314">
        <w:rPr>
          <w:b/>
        </w:rPr>
        <w:tab/>
      </w:r>
      <w:r w:rsidR="00EF3552" w:rsidRPr="00E21005">
        <w:rPr>
          <w:b/>
        </w:rPr>
        <w:t>Capital Financing</w:t>
      </w:r>
      <w:r w:rsidR="00EF3552" w:rsidRPr="00E21005">
        <w:t xml:space="preserve"> - Capital </w:t>
      </w:r>
      <w:r w:rsidR="002A049F" w:rsidRPr="00E21005">
        <w:t>financing</w:t>
      </w:r>
      <w:r w:rsidR="00EF3552" w:rsidRPr="00E21005">
        <w:t xml:space="preserve"> for the draft </w:t>
      </w:r>
      <w:r w:rsidR="00394651" w:rsidRPr="00E21005">
        <w:t>C</w:t>
      </w:r>
      <w:r w:rsidR="00EF3552" w:rsidRPr="00E21005">
        <w:t xml:space="preserve">apital </w:t>
      </w:r>
      <w:r w:rsidR="00394651" w:rsidRPr="00E21005">
        <w:t xml:space="preserve">Programme </w:t>
      </w:r>
      <w:r w:rsidR="00EF3552" w:rsidRPr="00E21005">
        <w:t xml:space="preserve">is detailed in Section D. The </w:t>
      </w:r>
      <w:r w:rsidR="00150735" w:rsidRPr="00E21005">
        <w:t xml:space="preserve">four year </w:t>
      </w:r>
      <w:r w:rsidR="00EF3552" w:rsidRPr="00E21005">
        <w:t>M</w:t>
      </w:r>
      <w:r w:rsidR="00150735" w:rsidRPr="00E21005">
        <w:t xml:space="preserve">edium Term </w:t>
      </w:r>
      <w:r w:rsidR="00EF3552" w:rsidRPr="00E21005">
        <w:t>F</w:t>
      </w:r>
      <w:r w:rsidR="00150735" w:rsidRPr="00E21005">
        <w:t xml:space="preserve">inancial </w:t>
      </w:r>
      <w:r w:rsidR="00EF3552" w:rsidRPr="00E21005">
        <w:t>S</w:t>
      </w:r>
      <w:r w:rsidR="00150735" w:rsidRPr="00E21005">
        <w:t xml:space="preserve">trategy </w:t>
      </w:r>
      <w:r w:rsidR="009D366C" w:rsidRPr="00E21005">
        <w:t xml:space="preserve">assumes </w:t>
      </w:r>
      <w:r w:rsidR="00AE6DED" w:rsidRPr="00E21005">
        <w:t>£</w:t>
      </w:r>
      <w:r w:rsidR="00E21005" w:rsidRPr="00E21005">
        <w:t>8</w:t>
      </w:r>
      <w:r w:rsidR="00B25909">
        <w:t>.9</w:t>
      </w:r>
      <w:r w:rsidR="00AE6DED" w:rsidRPr="00E21005">
        <w:t xml:space="preserve"> million of revenue contributions </w:t>
      </w:r>
      <w:r w:rsidR="00A37818" w:rsidRPr="00E21005">
        <w:t>will be made to f</w:t>
      </w:r>
      <w:r w:rsidR="00AE6DED" w:rsidRPr="00E21005">
        <w:t xml:space="preserve">inance </w:t>
      </w:r>
      <w:r w:rsidR="002A049F" w:rsidRPr="00E21005">
        <w:t xml:space="preserve">vehicle replacements and ICT software and hardware </w:t>
      </w:r>
      <w:r w:rsidR="00A83682" w:rsidRPr="00E21005">
        <w:t>over the period.</w:t>
      </w:r>
    </w:p>
    <w:p w14:paraId="7F0BE5F2" w14:textId="77777777" w:rsidR="00EF3552" w:rsidRPr="009349A0" w:rsidRDefault="00390239" w:rsidP="00390239">
      <w:pPr>
        <w:tabs>
          <w:tab w:val="left" w:pos="993"/>
        </w:tabs>
        <w:spacing w:after="120"/>
        <w:ind w:left="990" w:right="386" w:hanging="423"/>
      </w:pPr>
      <w:r w:rsidRPr="00390239">
        <w:t>I)</w:t>
      </w:r>
      <w:r>
        <w:rPr>
          <w:b/>
        </w:rPr>
        <w:tab/>
      </w:r>
      <w:r>
        <w:rPr>
          <w:b/>
        </w:rPr>
        <w:tab/>
      </w:r>
      <w:r w:rsidR="002A049F" w:rsidRPr="00390239">
        <w:rPr>
          <w:b/>
        </w:rPr>
        <w:t xml:space="preserve">Planned Repairs and Maintenance </w:t>
      </w:r>
      <w:r w:rsidR="002A049F" w:rsidRPr="009349A0">
        <w:t xml:space="preserve">– £2 million per annum </w:t>
      </w:r>
      <w:r w:rsidR="00A83682" w:rsidRPr="009349A0">
        <w:t>for</w:t>
      </w:r>
      <w:r w:rsidR="002A049F" w:rsidRPr="009349A0">
        <w:t xml:space="preserve"> planned maintenance to Corporate Buildings</w:t>
      </w:r>
      <w:r w:rsidR="0033632F" w:rsidRPr="009349A0">
        <w:t>.</w:t>
      </w:r>
      <w:r w:rsidR="002A049F" w:rsidRPr="009349A0">
        <w:t xml:space="preserve"> At the end of the 4 year period backlog repairs and maintenance is estimated at around £2.6 million</w:t>
      </w:r>
      <w:r w:rsidR="00AE6DED" w:rsidRPr="009349A0">
        <w:t xml:space="preserve"> </w:t>
      </w:r>
      <w:r w:rsidR="0033632F" w:rsidRPr="009349A0">
        <w:t xml:space="preserve"> </w:t>
      </w:r>
    </w:p>
    <w:p w14:paraId="06817A71" w14:textId="40D43CF1" w:rsidR="00A83682" w:rsidRDefault="00EF3552" w:rsidP="00390239">
      <w:pPr>
        <w:pStyle w:val="ListParagraph"/>
        <w:numPr>
          <w:ilvl w:val="0"/>
          <w:numId w:val="9"/>
        </w:numPr>
        <w:tabs>
          <w:tab w:val="left" w:pos="2160"/>
        </w:tabs>
        <w:spacing w:after="120"/>
        <w:ind w:left="993" w:right="386" w:hanging="426"/>
      </w:pPr>
      <w:r w:rsidRPr="00390239">
        <w:rPr>
          <w:b/>
        </w:rPr>
        <w:t xml:space="preserve">Contingencies </w:t>
      </w:r>
      <w:r w:rsidR="00902E5A" w:rsidRPr="009349A0">
        <w:t>–</w:t>
      </w:r>
      <w:r w:rsidRPr="009349A0">
        <w:t xml:space="preserve"> </w:t>
      </w:r>
      <w:r w:rsidR="00A83682" w:rsidRPr="009349A0">
        <w:t>In a change to previous years</w:t>
      </w:r>
      <w:r w:rsidR="003369AE">
        <w:t>’</w:t>
      </w:r>
      <w:r w:rsidR="00A83682" w:rsidRPr="009349A0">
        <w:t xml:space="preserve"> policy contingencies of 30% are </w:t>
      </w:r>
      <w:r w:rsidR="003369AE">
        <w:t>proposed</w:t>
      </w:r>
      <w:r w:rsidR="003369AE" w:rsidRPr="009349A0">
        <w:t xml:space="preserve"> </w:t>
      </w:r>
      <w:r w:rsidR="00A83682" w:rsidRPr="009349A0">
        <w:t xml:space="preserve">against high risk efficiencies, fees and charges and service reduction proposals </w:t>
      </w:r>
      <w:r w:rsidR="00151BF4">
        <w:t xml:space="preserve">where required </w:t>
      </w:r>
      <w:r w:rsidR="00A83682" w:rsidRPr="009349A0">
        <w:t>as set out below.</w:t>
      </w:r>
      <w:r w:rsidR="00CC237A" w:rsidRPr="009349A0">
        <w:t xml:space="preserve"> </w:t>
      </w:r>
      <w:r w:rsidR="00A83682" w:rsidRPr="009349A0">
        <w:t xml:space="preserve">This seems financially prudent given that the Council has had </w:t>
      </w:r>
      <w:r w:rsidR="00717ADE">
        <w:t xml:space="preserve">a </w:t>
      </w:r>
      <w:r w:rsidR="00A83682" w:rsidRPr="009349A0">
        <w:t>good track record of delivering within budget.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470"/>
        <w:gridCol w:w="1498"/>
        <w:gridCol w:w="1490"/>
        <w:gridCol w:w="1490"/>
      </w:tblGrid>
      <w:tr w:rsidR="00B47C41" w:rsidRPr="009349A0" w14:paraId="11DFC569" w14:textId="77777777" w:rsidTr="008E66A7">
        <w:tc>
          <w:tcPr>
            <w:tcW w:w="9428" w:type="dxa"/>
            <w:gridSpan w:val="5"/>
            <w:shd w:val="clear" w:color="auto" w:fill="BFBFBF" w:themeFill="background1" w:themeFillShade="BF"/>
          </w:tcPr>
          <w:p w14:paraId="3042E88A" w14:textId="77777777" w:rsidR="00B47C41" w:rsidRPr="009349A0" w:rsidRDefault="00165A9E" w:rsidP="008E66A7">
            <w:pPr>
              <w:tabs>
                <w:tab w:val="left" w:pos="2160"/>
              </w:tabs>
              <w:spacing w:after="120"/>
              <w:ind w:left="1026" w:right="386" w:hanging="850"/>
              <w:rPr>
                <w:b/>
              </w:rPr>
            </w:pPr>
            <w:r w:rsidRPr="009349A0">
              <w:rPr>
                <w:b/>
              </w:rPr>
              <w:t xml:space="preserve">Table </w:t>
            </w:r>
            <w:r w:rsidR="008E66A7">
              <w:rPr>
                <w:b/>
              </w:rPr>
              <w:t>5</w:t>
            </w:r>
            <w:r w:rsidR="00B47C41" w:rsidRPr="009349A0">
              <w:rPr>
                <w:b/>
              </w:rPr>
              <w:t xml:space="preserve"> : Contingencies held against efficiencies</w:t>
            </w:r>
            <w:r w:rsidR="002F2660" w:rsidRPr="009349A0">
              <w:rPr>
                <w:b/>
              </w:rPr>
              <w:t xml:space="preserve">, service reductions </w:t>
            </w:r>
            <w:r w:rsidR="00237C80" w:rsidRPr="009349A0">
              <w:rPr>
                <w:b/>
              </w:rPr>
              <w:t xml:space="preserve"> and fees and charge increases</w:t>
            </w:r>
          </w:p>
        </w:tc>
      </w:tr>
      <w:tr w:rsidR="00260A92" w:rsidRPr="009349A0" w14:paraId="7197D1DB" w14:textId="77777777" w:rsidTr="008E66A7">
        <w:tc>
          <w:tcPr>
            <w:tcW w:w="3459" w:type="dxa"/>
            <w:shd w:val="clear" w:color="auto" w:fill="BFBFBF" w:themeFill="background1" w:themeFillShade="BF"/>
          </w:tcPr>
          <w:p w14:paraId="50A5075D" w14:textId="77777777" w:rsidR="00260A92" w:rsidRPr="009349A0" w:rsidRDefault="00260A92" w:rsidP="000F7BF7">
            <w:pPr>
              <w:tabs>
                <w:tab w:val="left" w:pos="2160"/>
              </w:tabs>
              <w:spacing w:after="120"/>
              <w:ind w:right="386"/>
            </w:pPr>
          </w:p>
        </w:tc>
        <w:tc>
          <w:tcPr>
            <w:tcW w:w="1470" w:type="dxa"/>
            <w:shd w:val="clear" w:color="auto" w:fill="BFBFBF" w:themeFill="background1" w:themeFillShade="BF"/>
          </w:tcPr>
          <w:p w14:paraId="661859CB" w14:textId="77777777" w:rsidR="00260A92" w:rsidRPr="009349A0" w:rsidRDefault="00260A92" w:rsidP="00DF3762">
            <w:pPr>
              <w:tabs>
                <w:tab w:val="left" w:pos="2160"/>
              </w:tabs>
              <w:spacing w:after="120"/>
              <w:ind w:right="386"/>
              <w:jc w:val="center"/>
              <w:rPr>
                <w:b/>
              </w:rPr>
            </w:pPr>
            <w:r w:rsidRPr="009349A0">
              <w:rPr>
                <w:b/>
              </w:rPr>
              <w:t>2018/19</w:t>
            </w:r>
          </w:p>
        </w:tc>
        <w:tc>
          <w:tcPr>
            <w:tcW w:w="1507" w:type="dxa"/>
            <w:shd w:val="clear" w:color="auto" w:fill="BFBFBF" w:themeFill="background1" w:themeFillShade="BF"/>
          </w:tcPr>
          <w:p w14:paraId="4F39A6DF" w14:textId="77777777" w:rsidR="00260A92" w:rsidRPr="009349A0" w:rsidRDefault="00260A92" w:rsidP="00DF3762">
            <w:pPr>
              <w:tabs>
                <w:tab w:val="left" w:pos="2160"/>
              </w:tabs>
              <w:spacing w:after="120"/>
              <w:ind w:right="386"/>
              <w:jc w:val="center"/>
              <w:rPr>
                <w:b/>
              </w:rPr>
            </w:pPr>
            <w:r w:rsidRPr="009349A0">
              <w:rPr>
                <w:b/>
              </w:rPr>
              <w:t>2019/20</w:t>
            </w:r>
          </w:p>
        </w:tc>
        <w:tc>
          <w:tcPr>
            <w:tcW w:w="1496" w:type="dxa"/>
            <w:shd w:val="clear" w:color="auto" w:fill="BFBFBF" w:themeFill="background1" w:themeFillShade="BF"/>
          </w:tcPr>
          <w:p w14:paraId="71C3A8F4" w14:textId="77777777" w:rsidR="00260A92" w:rsidRPr="009349A0" w:rsidRDefault="00260A92" w:rsidP="00DF3762">
            <w:pPr>
              <w:tabs>
                <w:tab w:val="left" w:pos="2160"/>
              </w:tabs>
              <w:spacing w:after="120"/>
              <w:ind w:right="386"/>
              <w:jc w:val="center"/>
              <w:rPr>
                <w:b/>
              </w:rPr>
            </w:pPr>
            <w:r w:rsidRPr="009349A0">
              <w:rPr>
                <w:b/>
              </w:rPr>
              <w:t>2020/21</w:t>
            </w:r>
          </w:p>
        </w:tc>
        <w:tc>
          <w:tcPr>
            <w:tcW w:w="1496" w:type="dxa"/>
            <w:shd w:val="clear" w:color="auto" w:fill="BFBFBF" w:themeFill="background1" w:themeFillShade="BF"/>
          </w:tcPr>
          <w:p w14:paraId="7A3580B6" w14:textId="77777777" w:rsidR="00260A92" w:rsidRPr="009349A0" w:rsidRDefault="00260A92" w:rsidP="00260A92">
            <w:pPr>
              <w:tabs>
                <w:tab w:val="left" w:pos="2160"/>
              </w:tabs>
              <w:spacing w:after="120"/>
              <w:ind w:right="386"/>
              <w:jc w:val="center"/>
              <w:rPr>
                <w:b/>
              </w:rPr>
            </w:pPr>
            <w:r w:rsidRPr="009349A0">
              <w:rPr>
                <w:b/>
              </w:rPr>
              <w:t>2021/22</w:t>
            </w:r>
          </w:p>
        </w:tc>
      </w:tr>
      <w:tr w:rsidR="00260A92" w:rsidRPr="009349A0" w14:paraId="4EE4B877" w14:textId="77777777" w:rsidTr="008E66A7">
        <w:tc>
          <w:tcPr>
            <w:tcW w:w="3459" w:type="dxa"/>
            <w:shd w:val="clear" w:color="auto" w:fill="BFBFBF" w:themeFill="background1" w:themeFillShade="BF"/>
          </w:tcPr>
          <w:p w14:paraId="685AB59E" w14:textId="77777777" w:rsidR="00260A92" w:rsidRPr="009349A0" w:rsidRDefault="00260A92" w:rsidP="000F7BF7">
            <w:pPr>
              <w:tabs>
                <w:tab w:val="left" w:pos="2160"/>
              </w:tabs>
              <w:spacing w:after="120"/>
              <w:ind w:right="386"/>
            </w:pPr>
          </w:p>
        </w:tc>
        <w:tc>
          <w:tcPr>
            <w:tcW w:w="1470" w:type="dxa"/>
            <w:shd w:val="clear" w:color="auto" w:fill="BFBFBF" w:themeFill="background1" w:themeFillShade="BF"/>
          </w:tcPr>
          <w:p w14:paraId="7AF6605C" w14:textId="77777777" w:rsidR="00260A92" w:rsidRPr="009349A0" w:rsidRDefault="00260A92" w:rsidP="000F7BF7">
            <w:pPr>
              <w:tabs>
                <w:tab w:val="left" w:pos="2160"/>
              </w:tabs>
              <w:spacing w:after="120"/>
              <w:ind w:right="386"/>
              <w:jc w:val="center"/>
              <w:rPr>
                <w:b/>
              </w:rPr>
            </w:pPr>
            <w:r w:rsidRPr="009349A0">
              <w:rPr>
                <w:b/>
              </w:rPr>
              <w:t>£000’s</w:t>
            </w:r>
          </w:p>
        </w:tc>
        <w:tc>
          <w:tcPr>
            <w:tcW w:w="1507" w:type="dxa"/>
            <w:shd w:val="clear" w:color="auto" w:fill="BFBFBF" w:themeFill="background1" w:themeFillShade="BF"/>
          </w:tcPr>
          <w:p w14:paraId="58DBB430" w14:textId="77777777" w:rsidR="00260A92" w:rsidRPr="009349A0" w:rsidRDefault="00260A92" w:rsidP="000F7BF7">
            <w:pPr>
              <w:tabs>
                <w:tab w:val="left" w:pos="2160"/>
              </w:tabs>
              <w:spacing w:after="120"/>
              <w:ind w:right="386"/>
              <w:jc w:val="center"/>
              <w:rPr>
                <w:b/>
              </w:rPr>
            </w:pPr>
            <w:r w:rsidRPr="009349A0">
              <w:rPr>
                <w:b/>
              </w:rPr>
              <w:t>£000’s</w:t>
            </w:r>
          </w:p>
        </w:tc>
        <w:tc>
          <w:tcPr>
            <w:tcW w:w="1496" w:type="dxa"/>
            <w:shd w:val="clear" w:color="auto" w:fill="BFBFBF" w:themeFill="background1" w:themeFillShade="BF"/>
          </w:tcPr>
          <w:p w14:paraId="7F9C7E8F" w14:textId="77777777" w:rsidR="00260A92" w:rsidRPr="009349A0" w:rsidRDefault="00260A92" w:rsidP="000F7BF7">
            <w:pPr>
              <w:tabs>
                <w:tab w:val="left" w:pos="2160"/>
              </w:tabs>
              <w:spacing w:after="120"/>
              <w:ind w:right="386"/>
              <w:jc w:val="center"/>
              <w:rPr>
                <w:b/>
              </w:rPr>
            </w:pPr>
            <w:r w:rsidRPr="009349A0">
              <w:rPr>
                <w:b/>
              </w:rPr>
              <w:t>£000’s</w:t>
            </w:r>
          </w:p>
        </w:tc>
        <w:tc>
          <w:tcPr>
            <w:tcW w:w="1496" w:type="dxa"/>
            <w:shd w:val="clear" w:color="auto" w:fill="BFBFBF" w:themeFill="background1" w:themeFillShade="BF"/>
          </w:tcPr>
          <w:p w14:paraId="31B02E15" w14:textId="77777777" w:rsidR="00260A92" w:rsidRPr="009349A0" w:rsidRDefault="00260A92" w:rsidP="000F7BF7">
            <w:pPr>
              <w:tabs>
                <w:tab w:val="left" w:pos="2160"/>
              </w:tabs>
              <w:spacing w:after="120"/>
              <w:ind w:right="386"/>
              <w:jc w:val="center"/>
              <w:rPr>
                <w:b/>
              </w:rPr>
            </w:pPr>
            <w:r w:rsidRPr="009349A0">
              <w:rPr>
                <w:b/>
              </w:rPr>
              <w:t>£000’s</w:t>
            </w:r>
          </w:p>
        </w:tc>
      </w:tr>
      <w:tr w:rsidR="00260A92" w:rsidRPr="009349A0" w14:paraId="56304724" w14:textId="77777777" w:rsidTr="008E66A7">
        <w:tc>
          <w:tcPr>
            <w:tcW w:w="3459" w:type="dxa"/>
            <w:shd w:val="clear" w:color="auto" w:fill="auto"/>
          </w:tcPr>
          <w:p w14:paraId="37858918" w14:textId="77777777" w:rsidR="00260A92" w:rsidRPr="009349A0" w:rsidRDefault="00260A92" w:rsidP="000F7BF7">
            <w:pPr>
              <w:tabs>
                <w:tab w:val="left" w:pos="2160"/>
              </w:tabs>
              <w:spacing w:after="120"/>
              <w:ind w:right="386"/>
            </w:pPr>
            <w:r w:rsidRPr="009349A0">
              <w:t>Total cumulative Savings in plan</w:t>
            </w:r>
          </w:p>
        </w:tc>
        <w:tc>
          <w:tcPr>
            <w:tcW w:w="1470" w:type="dxa"/>
            <w:shd w:val="clear" w:color="auto" w:fill="auto"/>
          </w:tcPr>
          <w:p w14:paraId="18E92BB9" w14:textId="77777777" w:rsidR="00260A92" w:rsidRPr="009349A0" w:rsidRDefault="00132F27" w:rsidP="00DF3762">
            <w:pPr>
              <w:tabs>
                <w:tab w:val="left" w:pos="2160"/>
              </w:tabs>
              <w:spacing w:after="120"/>
              <w:jc w:val="right"/>
            </w:pPr>
            <w:r>
              <w:t>555</w:t>
            </w:r>
          </w:p>
        </w:tc>
        <w:tc>
          <w:tcPr>
            <w:tcW w:w="1507" w:type="dxa"/>
            <w:shd w:val="clear" w:color="auto" w:fill="auto"/>
          </w:tcPr>
          <w:p w14:paraId="443F0F0E" w14:textId="77777777" w:rsidR="00260A92" w:rsidRPr="009349A0" w:rsidRDefault="009349A0" w:rsidP="00132F27">
            <w:pPr>
              <w:tabs>
                <w:tab w:val="left" w:pos="1483"/>
                <w:tab w:val="left" w:pos="2160"/>
              </w:tabs>
              <w:spacing w:after="120"/>
              <w:jc w:val="right"/>
            </w:pPr>
            <w:r w:rsidRPr="009349A0">
              <w:t>1,</w:t>
            </w:r>
            <w:r w:rsidR="00132F27">
              <w:t>259</w:t>
            </w:r>
          </w:p>
        </w:tc>
        <w:tc>
          <w:tcPr>
            <w:tcW w:w="1496" w:type="dxa"/>
            <w:shd w:val="clear" w:color="auto" w:fill="auto"/>
          </w:tcPr>
          <w:p w14:paraId="4231646D" w14:textId="77777777" w:rsidR="00260A92" w:rsidRPr="009349A0" w:rsidRDefault="009349A0" w:rsidP="00132F27">
            <w:pPr>
              <w:tabs>
                <w:tab w:val="left" w:pos="2160"/>
              </w:tabs>
              <w:spacing w:after="120"/>
              <w:jc w:val="right"/>
            </w:pPr>
            <w:r w:rsidRPr="009349A0">
              <w:t>2,</w:t>
            </w:r>
            <w:r w:rsidR="00132F27">
              <w:t>059</w:t>
            </w:r>
          </w:p>
        </w:tc>
        <w:tc>
          <w:tcPr>
            <w:tcW w:w="1496" w:type="dxa"/>
            <w:shd w:val="clear" w:color="auto" w:fill="auto"/>
          </w:tcPr>
          <w:p w14:paraId="7BE6895A" w14:textId="77777777" w:rsidR="00260A92" w:rsidRPr="009349A0" w:rsidRDefault="00132F27" w:rsidP="00132F27">
            <w:pPr>
              <w:tabs>
                <w:tab w:val="left" w:pos="2160"/>
              </w:tabs>
              <w:spacing w:after="120"/>
              <w:jc w:val="right"/>
            </w:pPr>
            <w:r>
              <w:t>2</w:t>
            </w:r>
            <w:r w:rsidR="009349A0" w:rsidRPr="009349A0">
              <w:t>,</w:t>
            </w:r>
            <w:r>
              <w:t>757</w:t>
            </w:r>
          </w:p>
        </w:tc>
      </w:tr>
      <w:tr w:rsidR="009349A0" w:rsidRPr="009349A0" w14:paraId="2EEB8F78" w14:textId="77777777" w:rsidTr="008E66A7">
        <w:tc>
          <w:tcPr>
            <w:tcW w:w="3459" w:type="dxa"/>
            <w:shd w:val="clear" w:color="auto" w:fill="auto"/>
          </w:tcPr>
          <w:p w14:paraId="15261D40" w14:textId="2932CDCE" w:rsidR="009349A0" w:rsidRPr="009349A0" w:rsidRDefault="009349A0" w:rsidP="000F7BF7">
            <w:pPr>
              <w:tabs>
                <w:tab w:val="left" w:pos="2160"/>
              </w:tabs>
              <w:spacing w:after="120"/>
              <w:ind w:right="386"/>
            </w:pPr>
            <w:r w:rsidRPr="009349A0">
              <w:t xml:space="preserve">Cumulative contingency in </w:t>
            </w:r>
            <w:r w:rsidR="00FB2B58">
              <w:t>MTFS</w:t>
            </w:r>
            <w:r w:rsidRPr="009349A0">
              <w:t xml:space="preserve"> </w:t>
            </w:r>
          </w:p>
        </w:tc>
        <w:tc>
          <w:tcPr>
            <w:tcW w:w="1470" w:type="dxa"/>
            <w:shd w:val="clear" w:color="auto" w:fill="auto"/>
          </w:tcPr>
          <w:p w14:paraId="723CECAD" w14:textId="77777777" w:rsidR="009349A0" w:rsidRPr="009349A0" w:rsidRDefault="00151BF4" w:rsidP="00B25909">
            <w:pPr>
              <w:tabs>
                <w:tab w:val="left" w:pos="2160"/>
              </w:tabs>
              <w:spacing w:after="120"/>
              <w:jc w:val="right"/>
            </w:pPr>
            <w:r>
              <w:t>5</w:t>
            </w:r>
            <w:r w:rsidR="00B25909">
              <w:t>9</w:t>
            </w:r>
          </w:p>
        </w:tc>
        <w:tc>
          <w:tcPr>
            <w:tcW w:w="1507" w:type="dxa"/>
            <w:shd w:val="clear" w:color="auto" w:fill="auto"/>
          </w:tcPr>
          <w:p w14:paraId="26508D2E" w14:textId="77777777" w:rsidR="009349A0" w:rsidRPr="009349A0" w:rsidRDefault="00151BF4" w:rsidP="005E4245">
            <w:pPr>
              <w:tabs>
                <w:tab w:val="left" w:pos="1483"/>
                <w:tab w:val="left" w:pos="2160"/>
              </w:tabs>
              <w:spacing w:after="120"/>
              <w:jc w:val="right"/>
            </w:pPr>
            <w:r>
              <w:t>89</w:t>
            </w:r>
          </w:p>
        </w:tc>
        <w:tc>
          <w:tcPr>
            <w:tcW w:w="1496" w:type="dxa"/>
            <w:shd w:val="clear" w:color="auto" w:fill="auto"/>
          </w:tcPr>
          <w:p w14:paraId="7B44D993" w14:textId="77777777" w:rsidR="009349A0" w:rsidRPr="009349A0" w:rsidRDefault="00151BF4" w:rsidP="005E4245">
            <w:pPr>
              <w:tabs>
                <w:tab w:val="left" w:pos="2160"/>
              </w:tabs>
              <w:spacing w:after="120"/>
              <w:jc w:val="right"/>
            </w:pPr>
            <w:r>
              <w:t>143</w:t>
            </w:r>
          </w:p>
        </w:tc>
        <w:tc>
          <w:tcPr>
            <w:tcW w:w="1496" w:type="dxa"/>
            <w:shd w:val="clear" w:color="auto" w:fill="auto"/>
          </w:tcPr>
          <w:p w14:paraId="1B5BE1A1" w14:textId="77777777" w:rsidR="009349A0" w:rsidRPr="009349A0" w:rsidRDefault="00151BF4" w:rsidP="00002ACC">
            <w:pPr>
              <w:tabs>
                <w:tab w:val="left" w:pos="2160"/>
              </w:tabs>
              <w:spacing w:after="120"/>
              <w:jc w:val="right"/>
            </w:pPr>
            <w:r>
              <w:t>176</w:t>
            </w:r>
          </w:p>
        </w:tc>
      </w:tr>
      <w:tr w:rsidR="009349A0" w:rsidRPr="00894B8A" w14:paraId="2D50DD6E" w14:textId="77777777" w:rsidTr="008E66A7">
        <w:tc>
          <w:tcPr>
            <w:tcW w:w="3459" w:type="dxa"/>
            <w:shd w:val="clear" w:color="auto" w:fill="auto"/>
          </w:tcPr>
          <w:p w14:paraId="1DEBA7FE" w14:textId="77777777" w:rsidR="009349A0" w:rsidRPr="009349A0" w:rsidRDefault="009349A0" w:rsidP="000F7BF7">
            <w:pPr>
              <w:tabs>
                <w:tab w:val="left" w:pos="2160"/>
              </w:tabs>
              <w:spacing w:after="120"/>
              <w:ind w:right="386"/>
            </w:pPr>
            <w:r w:rsidRPr="009349A0">
              <w:t>% of total savings covered by contingency</w:t>
            </w:r>
          </w:p>
        </w:tc>
        <w:tc>
          <w:tcPr>
            <w:tcW w:w="1470" w:type="dxa"/>
            <w:shd w:val="clear" w:color="auto" w:fill="auto"/>
          </w:tcPr>
          <w:p w14:paraId="749873FE" w14:textId="77777777" w:rsidR="009349A0" w:rsidRPr="009349A0" w:rsidRDefault="00B25909" w:rsidP="00B25909">
            <w:pPr>
              <w:tabs>
                <w:tab w:val="left" w:pos="2160"/>
              </w:tabs>
              <w:spacing w:after="120"/>
              <w:jc w:val="right"/>
            </w:pPr>
            <w:r>
              <w:t>10</w:t>
            </w:r>
            <w:r w:rsidR="00151BF4">
              <w:t>.</w:t>
            </w:r>
            <w:r>
              <w:t>6</w:t>
            </w:r>
            <w:r w:rsidR="00101064">
              <w:t>%</w:t>
            </w:r>
          </w:p>
        </w:tc>
        <w:tc>
          <w:tcPr>
            <w:tcW w:w="1507" w:type="dxa"/>
            <w:shd w:val="clear" w:color="auto" w:fill="auto"/>
          </w:tcPr>
          <w:p w14:paraId="17A6C45F" w14:textId="77777777" w:rsidR="009349A0" w:rsidRPr="009349A0" w:rsidRDefault="00132F27" w:rsidP="002F2660">
            <w:pPr>
              <w:tabs>
                <w:tab w:val="left" w:pos="1483"/>
                <w:tab w:val="left" w:pos="2160"/>
              </w:tabs>
              <w:spacing w:after="120"/>
              <w:jc w:val="right"/>
            </w:pPr>
            <w:r>
              <w:t>7</w:t>
            </w:r>
            <w:r w:rsidR="00151BF4">
              <w:t>.1</w:t>
            </w:r>
            <w:r w:rsidR="00101064">
              <w:t>%</w:t>
            </w:r>
          </w:p>
        </w:tc>
        <w:tc>
          <w:tcPr>
            <w:tcW w:w="1496" w:type="dxa"/>
            <w:shd w:val="clear" w:color="auto" w:fill="auto"/>
          </w:tcPr>
          <w:p w14:paraId="73C835F8" w14:textId="77777777" w:rsidR="009349A0" w:rsidRPr="009349A0" w:rsidRDefault="00132F27" w:rsidP="002F2660">
            <w:pPr>
              <w:tabs>
                <w:tab w:val="left" w:pos="2160"/>
              </w:tabs>
              <w:spacing w:after="120"/>
              <w:jc w:val="right"/>
            </w:pPr>
            <w:r>
              <w:t>6.9</w:t>
            </w:r>
            <w:r w:rsidR="00101064">
              <w:t>%</w:t>
            </w:r>
          </w:p>
        </w:tc>
        <w:tc>
          <w:tcPr>
            <w:tcW w:w="1496" w:type="dxa"/>
            <w:shd w:val="clear" w:color="auto" w:fill="auto"/>
          </w:tcPr>
          <w:p w14:paraId="62CB538B" w14:textId="77777777" w:rsidR="009349A0" w:rsidRPr="009349A0" w:rsidRDefault="00132F27" w:rsidP="00132F27">
            <w:pPr>
              <w:tabs>
                <w:tab w:val="left" w:pos="2160"/>
              </w:tabs>
              <w:spacing w:after="120"/>
              <w:jc w:val="right"/>
            </w:pPr>
            <w:r>
              <w:t>6</w:t>
            </w:r>
            <w:r w:rsidR="00151BF4">
              <w:t>.</w:t>
            </w:r>
            <w:r>
              <w:t>4</w:t>
            </w:r>
            <w:r w:rsidR="00101064">
              <w:t>%</w:t>
            </w:r>
          </w:p>
        </w:tc>
      </w:tr>
    </w:tbl>
    <w:p w14:paraId="412E234E" w14:textId="77777777" w:rsidR="008D6AFC" w:rsidRDefault="008D6AFC" w:rsidP="00942056">
      <w:pPr>
        <w:ind w:left="567" w:right="386" w:hanging="567"/>
      </w:pPr>
    </w:p>
    <w:p w14:paraId="124B87F3" w14:textId="77777777" w:rsidR="004F0F6F" w:rsidRPr="0084681B" w:rsidRDefault="00390239" w:rsidP="00942056">
      <w:pPr>
        <w:ind w:left="567" w:right="386" w:hanging="567"/>
        <w:rPr>
          <w:b/>
          <w:u w:val="single"/>
        </w:rPr>
      </w:pPr>
      <w:r>
        <w:t>58</w:t>
      </w:r>
      <w:r w:rsidR="006D6BBB">
        <w:tab/>
      </w:r>
      <w:r w:rsidR="00D441EF" w:rsidRPr="0084681B">
        <w:t xml:space="preserve">Set against a background </w:t>
      </w:r>
      <w:r w:rsidR="008D634F" w:rsidRPr="0084681B">
        <w:t>of uncertainty</w:t>
      </w:r>
      <w:r w:rsidR="00D441EF" w:rsidRPr="0084681B">
        <w:t xml:space="preserve"> new items of </w:t>
      </w:r>
      <w:r w:rsidR="00640565" w:rsidRPr="0084681B">
        <w:t xml:space="preserve">ongoing revenue </w:t>
      </w:r>
      <w:r w:rsidR="00D441EF" w:rsidRPr="0084681B">
        <w:t xml:space="preserve">expenditure </w:t>
      </w:r>
      <w:r w:rsidR="00B352A7">
        <w:t>total</w:t>
      </w:r>
      <w:r w:rsidR="00C11B84">
        <w:t xml:space="preserve"> </w:t>
      </w:r>
      <w:r w:rsidR="00B352A7">
        <w:t xml:space="preserve">over </w:t>
      </w:r>
      <w:r w:rsidR="008D634F" w:rsidRPr="0084681B">
        <w:t>£</w:t>
      </w:r>
      <w:r w:rsidR="00FD0D00">
        <w:t>2</w:t>
      </w:r>
      <w:r w:rsidR="008D634F" w:rsidRPr="0084681B">
        <w:t xml:space="preserve"> million </w:t>
      </w:r>
      <w:r w:rsidR="004A5D4D" w:rsidRPr="0084681B">
        <w:t xml:space="preserve">per annum </w:t>
      </w:r>
      <w:r w:rsidR="00D441EF" w:rsidRPr="0084681B">
        <w:t xml:space="preserve">are shown </w:t>
      </w:r>
      <w:r w:rsidR="00793701" w:rsidRPr="0084681B">
        <w:t>in Appendix 3</w:t>
      </w:r>
      <w:r w:rsidR="00094E55" w:rsidRPr="0084681B">
        <w:t>.  The</w:t>
      </w:r>
      <w:r w:rsidR="00D441EF" w:rsidRPr="0084681B">
        <w:t xml:space="preserve"> most significant </w:t>
      </w:r>
      <w:r w:rsidR="007C1D05" w:rsidRPr="0084681B">
        <w:t>being:</w:t>
      </w:r>
    </w:p>
    <w:p w14:paraId="76AB3796" w14:textId="77777777" w:rsidR="004F0F6F" w:rsidRPr="0084681B" w:rsidRDefault="004F0F6F" w:rsidP="009736F2">
      <w:pPr>
        <w:ind w:right="386" w:firstLine="720"/>
        <w:rPr>
          <w:b/>
        </w:rPr>
      </w:pPr>
    </w:p>
    <w:p w14:paraId="21806C2E" w14:textId="77777777" w:rsidR="003369AE" w:rsidRPr="000A112B" w:rsidRDefault="003369AE" w:rsidP="006C4C35">
      <w:pPr>
        <w:numPr>
          <w:ilvl w:val="0"/>
          <w:numId w:val="17"/>
        </w:numPr>
        <w:ind w:right="386"/>
      </w:pPr>
      <w:r>
        <w:rPr>
          <w:b/>
        </w:rPr>
        <w:t>Additional funding for homelessness services</w:t>
      </w:r>
      <w:r>
        <w:t xml:space="preserve">: £200k per annum additional funding for homelessness prevention services from 2019/20 onwards.  </w:t>
      </w:r>
    </w:p>
    <w:p w14:paraId="56C2EFC2" w14:textId="77777777" w:rsidR="00BA718E" w:rsidRPr="0084681B" w:rsidRDefault="00BA718E" w:rsidP="006C4C35">
      <w:pPr>
        <w:numPr>
          <w:ilvl w:val="0"/>
          <w:numId w:val="17"/>
        </w:numPr>
        <w:ind w:right="386"/>
      </w:pPr>
      <w:r w:rsidRPr="0084681B">
        <w:rPr>
          <w:b/>
        </w:rPr>
        <w:t xml:space="preserve">Telecommunication costs </w:t>
      </w:r>
      <w:r w:rsidRPr="0084681B">
        <w:t xml:space="preserve">- £138k – additional costs associated with </w:t>
      </w:r>
      <w:proofErr w:type="spellStart"/>
      <w:r w:rsidRPr="0084681B">
        <w:t>BTonePhone</w:t>
      </w:r>
      <w:proofErr w:type="spellEnd"/>
      <w:r w:rsidRPr="0084681B">
        <w:t xml:space="preserve"> contract</w:t>
      </w:r>
    </w:p>
    <w:p w14:paraId="0F74D785" w14:textId="77777777" w:rsidR="00A20A09" w:rsidRPr="0084681B" w:rsidRDefault="00BA718E" w:rsidP="006C4C35">
      <w:pPr>
        <w:numPr>
          <w:ilvl w:val="0"/>
          <w:numId w:val="17"/>
        </w:numPr>
        <w:ind w:right="386"/>
      </w:pPr>
      <w:r w:rsidRPr="0084681B">
        <w:rPr>
          <w:b/>
        </w:rPr>
        <w:t xml:space="preserve">ICT Restructure costs </w:t>
      </w:r>
      <w:r w:rsidRPr="0084681B">
        <w:t>-£400k over 2 years and then £200k per annum. To provide further investment in staffing in ICT includes an additional 5 posts</w:t>
      </w:r>
      <w:r w:rsidR="00D441EF" w:rsidRPr="0084681B">
        <w:t xml:space="preserve"> </w:t>
      </w:r>
    </w:p>
    <w:p w14:paraId="107CCE54" w14:textId="77777777" w:rsidR="00BA718E" w:rsidRPr="0084681B" w:rsidRDefault="00BA718E" w:rsidP="006C4C35">
      <w:pPr>
        <w:numPr>
          <w:ilvl w:val="0"/>
          <w:numId w:val="17"/>
        </w:numPr>
        <w:ind w:right="386"/>
      </w:pPr>
      <w:r w:rsidRPr="0084681B">
        <w:rPr>
          <w:b/>
        </w:rPr>
        <w:t xml:space="preserve">Finance posts re LATCO </w:t>
      </w:r>
      <w:r w:rsidRPr="0084681B">
        <w:t>-£110k assist with additional work in respect of LATCO including preparation of accounts, strategic financial leadership, reconciliations</w:t>
      </w:r>
    </w:p>
    <w:p w14:paraId="1F042B28" w14:textId="77777777" w:rsidR="00F960EC" w:rsidRPr="0084681B" w:rsidRDefault="00F960EC" w:rsidP="006C4C35">
      <w:pPr>
        <w:numPr>
          <w:ilvl w:val="0"/>
          <w:numId w:val="17"/>
        </w:numPr>
        <w:ind w:right="386"/>
      </w:pPr>
      <w:r w:rsidRPr="0084681B">
        <w:rPr>
          <w:b/>
        </w:rPr>
        <w:t xml:space="preserve">Investigation Services </w:t>
      </w:r>
      <w:r w:rsidRPr="0084681B">
        <w:t xml:space="preserve">- £300k per annum offset by income. A business case has been prepared to sell services to other organisations. A number of leads are being </w:t>
      </w:r>
      <w:r w:rsidR="007C1D05" w:rsidRPr="0084681B">
        <w:t>pursued</w:t>
      </w:r>
      <w:r w:rsidRPr="0084681B">
        <w:t xml:space="preserve"> and will be secured before staff are taken on to fulfil the contracts</w:t>
      </w:r>
    </w:p>
    <w:p w14:paraId="7DF871AC" w14:textId="422CA73E" w:rsidR="00F960EC" w:rsidRDefault="00D441EF" w:rsidP="00663BA4">
      <w:pPr>
        <w:numPr>
          <w:ilvl w:val="0"/>
          <w:numId w:val="17"/>
        </w:numPr>
        <w:ind w:right="386"/>
      </w:pPr>
      <w:r w:rsidRPr="0084681B">
        <w:rPr>
          <w:b/>
        </w:rPr>
        <w:t xml:space="preserve">Planning Services - </w:t>
      </w:r>
      <w:r w:rsidRPr="00717ADE">
        <w:t>£</w:t>
      </w:r>
      <w:r w:rsidR="00F960EC" w:rsidRPr="00717ADE">
        <w:t>160</w:t>
      </w:r>
      <w:r w:rsidRPr="00717ADE">
        <w:t>k</w:t>
      </w:r>
      <w:r w:rsidRPr="0084681B">
        <w:rPr>
          <w:b/>
        </w:rPr>
        <w:t xml:space="preserve"> –</w:t>
      </w:r>
      <w:r w:rsidRPr="0084681B">
        <w:t xml:space="preserve"> </w:t>
      </w:r>
      <w:r w:rsidR="00A83682" w:rsidRPr="0084681B">
        <w:t xml:space="preserve">additional </w:t>
      </w:r>
      <w:r w:rsidRPr="0084681B">
        <w:t xml:space="preserve">posts </w:t>
      </w:r>
      <w:r w:rsidR="00A83443" w:rsidRPr="0084681B">
        <w:t>to ensure the robustness of the service going forward</w:t>
      </w:r>
    </w:p>
    <w:p w14:paraId="3F2DD303" w14:textId="1D0E3307" w:rsidR="00151BF4" w:rsidRPr="00151BF4" w:rsidRDefault="00151BF4" w:rsidP="00151BF4">
      <w:pPr>
        <w:pStyle w:val="ListParagraph"/>
        <w:numPr>
          <w:ilvl w:val="0"/>
          <w:numId w:val="17"/>
        </w:numPr>
        <w:autoSpaceDE w:val="0"/>
        <w:autoSpaceDN w:val="0"/>
        <w:adjustRightInd w:val="0"/>
        <w:rPr>
          <w:rFonts w:cs="Arial"/>
        </w:rPr>
      </w:pPr>
      <w:r w:rsidRPr="00151BF4">
        <w:rPr>
          <w:b/>
        </w:rPr>
        <w:t>Joint Spa</w:t>
      </w:r>
      <w:r w:rsidR="003369AE">
        <w:rPr>
          <w:b/>
        </w:rPr>
        <w:t>t</w:t>
      </w:r>
      <w:r w:rsidRPr="00151BF4">
        <w:rPr>
          <w:b/>
        </w:rPr>
        <w:t>ial Plan -</w:t>
      </w:r>
      <w:r>
        <w:t xml:space="preserve"> </w:t>
      </w:r>
      <w:r w:rsidRPr="00151BF4">
        <w:rPr>
          <w:rFonts w:cs="Arial"/>
        </w:rPr>
        <w:t xml:space="preserve">£300k </w:t>
      </w:r>
      <w:r>
        <w:rPr>
          <w:rFonts w:cs="Arial"/>
        </w:rPr>
        <w:t>as the Council</w:t>
      </w:r>
      <w:r w:rsidR="003369AE">
        <w:rPr>
          <w:rFonts w:cs="Arial"/>
        </w:rPr>
        <w:t>’</w:t>
      </w:r>
      <w:r>
        <w:rPr>
          <w:rFonts w:cs="Arial"/>
        </w:rPr>
        <w:t xml:space="preserve">s contribution to work with other planning authorities in Oxfordshire </w:t>
      </w:r>
      <w:r w:rsidRPr="00151BF4">
        <w:rPr>
          <w:rFonts w:cs="Arial"/>
          <w:lang w:eastAsia="en-GB"/>
        </w:rPr>
        <w:t>to provide an Oxfordshire-wide integrated strategic planning framework and supporting evidence base to support sustainable growth across the county, including the planned delivery of the new homes and economic development, and the anticipated supporting infrastructure needed</w:t>
      </w:r>
    </w:p>
    <w:p w14:paraId="5C04F9EC" w14:textId="5A1A67C3" w:rsidR="00F960EC" w:rsidRPr="0084681B" w:rsidRDefault="00F960EC" w:rsidP="006C4C35">
      <w:pPr>
        <w:numPr>
          <w:ilvl w:val="0"/>
          <w:numId w:val="17"/>
        </w:numPr>
        <w:ind w:right="386"/>
      </w:pPr>
      <w:r w:rsidRPr="0084681B">
        <w:rPr>
          <w:b/>
        </w:rPr>
        <w:t>Barton Park –</w:t>
      </w:r>
      <w:r w:rsidRPr="0084681B">
        <w:t xml:space="preserve"> £</w:t>
      </w:r>
      <w:r w:rsidR="0084681B" w:rsidRPr="0084681B">
        <w:t>2</w:t>
      </w:r>
      <w:r w:rsidR="00064918">
        <w:t>23</w:t>
      </w:r>
      <w:r w:rsidR="003369AE">
        <w:t>k</w:t>
      </w:r>
      <w:r w:rsidRPr="0084681B">
        <w:t xml:space="preserve"> pa Operation and maintenance of pitches and </w:t>
      </w:r>
      <w:r w:rsidR="007C1D05" w:rsidRPr="0084681B">
        <w:t>pavilions</w:t>
      </w:r>
      <w:r w:rsidRPr="0084681B">
        <w:t xml:space="preserve"> maintenance</w:t>
      </w:r>
      <w:r w:rsidR="0084681B" w:rsidRPr="0084681B">
        <w:t xml:space="preserve"> and street cleansing</w:t>
      </w:r>
    </w:p>
    <w:p w14:paraId="45F4B8C9" w14:textId="44C84931" w:rsidR="0084681B" w:rsidRDefault="0084681B" w:rsidP="006C4C35">
      <w:pPr>
        <w:numPr>
          <w:ilvl w:val="0"/>
          <w:numId w:val="17"/>
        </w:numPr>
        <w:ind w:right="386"/>
      </w:pPr>
      <w:r w:rsidRPr="0084681B">
        <w:rPr>
          <w:b/>
        </w:rPr>
        <w:t>Tree Team -</w:t>
      </w:r>
      <w:r w:rsidRPr="0084681B">
        <w:t xml:space="preserve">£96k Increase of 2 </w:t>
      </w:r>
      <w:r w:rsidR="003369AE">
        <w:t>FTE</w:t>
      </w:r>
      <w:r w:rsidR="003369AE" w:rsidRPr="0084681B">
        <w:t xml:space="preserve"> </w:t>
      </w:r>
      <w:r w:rsidRPr="0084681B">
        <w:t>plus vehicle for additional tree maintenance</w:t>
      </w:r>
      <w:r w:rsidR="003369AE">
        <w:t xml:space="preserve"> work identified by safety surveys</w:t>
      </w:r>
    </w:p>
    <w:p w14:paraId="5861DFFE" w14:textId="4737FFA1" w:rsidR="005A7428" w:rsidRPr="00B352A7" w:rsidRDefault="003369AE" w:rsidP="005A7428">
      <w:pPr>
        <w:pStyle w:val="ListParagraph"/>
        <w:numPr>
          <w:ilvl w:val="0"/>
          <w:numId w:val="17"/>
        </w:numPr>
        <w:rPr>
          <w:rFonts w:cs="Arial"/>
          <w:lang w:eastAsia="en-GB"/>
        </w:rPr>
      </w:pPr>
      <w:r>
        <w:rPr>
          <w:b/>
        </w:rPr>
        <w:t>Supporting recycling</w:t>
      </w:r>
      <w:r w:rsidR="005A7428" w:rsidRPr="005A7428">
        <w:rPr>
          <w:b/>
        </w:rPr>
        <w:t xml:space="preserve"> -</w:t>
      </w:r>
      <w:r w:rsidR="00B352A7">
        <w:rPr>
          <w:b/>
        </w:rPr>
        <w:t xml:space="preserve"> </w:t>
      </w:r>
      <w:r w:rsidR="00B352A7" w:rsidRPr="00B352A7">
        <w:t xml:space="preserve">£338k over three years </w:t>
      </w:r>
      <w:r w:rsidR="00B352A7">
        <w:rPr>
          <w:b/>
        </w:rPr>
        <w:t xml:space="preserve">– </w:t>
      </w:r>
      <w:r w:rsidR="00B352A7" w:rsidRPr="00B352A7">
        <w:t>To c</w:t>
      </w:r>
      <w:r w:rsidR="005A7428" w:rsidRPr="00B352A7">
        <w:rPr>
          <w:rFonts w:cs="Arial"/>
          <w:lang w:eastAsia="en-GB"/>
        </w:rPr>
        <w:t xml:space="preserve">ontinue the funding for </w:t>
      </w:r>
      <w:r>
        <w:rPr>
          <w:rFonts w:cs="Arial"/>
          <w:lang w:eastAsia="en-GB"/>
        </w:rPr>
        <w:t>proactive work to encourage recycling, including the “Blue Bin League”,</w:t>
      </w:r>
      <w:r w:rsidR="005A7428" w:rsidRPr="00B352A7">
        <w:rPr>
          <w:rFonts w:cs="Arial"/>
          <w:lang w:eastAsia="en-GB"/>
        </w:rPr>
        <w:t xml:space="preserve"> now in the final year of three year grant funding. </w:t>
      </w:r>
      <w:r w:rsidR="00B352A7">
        <w:rPr>
          <w:rFonts w:cs="Arial"/>
          <w:lang w:eastAsia="en-GB"/>
        </w:rPr>
        <w:t xml:space="preserve">To achieve cost/benefit savings of </w:t>
      </w:r>
      <w:r w:rsidR="005A7428" w:rsidRPr="00B352A7">
        <w:rPr>
          <w:rFonts w:cs="Arial"/>
          <w:lang w:eastAsia="en-GB"/>
        </w:rPr>
        <w:t xml:space="preserve">(a) savings from recycling vs. landfill and (b) avoiding penalties from </w:t>
      </w:r>
      <w:r w:rsidR="00B352A7" w:rsidRPr="00B352A7">
        <w:rPr>
          <w:rFonts w:cs="Arial"/>
          <w:lang w:eastAsia="en-GB"/>
        </w:rPr>
        <w:t>failing</w:t>
      </w:r>
      <w:r w:rsidR="005A7428" w:rsidRPr="00B352A7">
        <w:rPr>
          <w:rFonts w:cs="Arial"/>
          <w:lang w:eastAsia="en-GB"/>
        </w:rPr>
        <w:t xml:space="preserve"> to meet recycling targets.</w:t>
      </w:r>
    </w:p>
    <w:p w14:paraId="3DDAFF78" w14:textId="4A569C94" w:rsidR="005A7428" w:rsidRDefault="00B352A7" w:rsidP="00101064">
      <w:pPr>
        <w:numPr>
          <w:ilvl w:val="0"/>
          <w:numId w:val="17"/>
        </w:numPr>
        <w:ind w:right="386"/>
      </w:pPr>
      <w:r w:rsidRPr="00B352A7">
        <w:rPr>
          <w:b/>
        </w:rPr>
        <w:t>Police Community Support Officer</w:t>
      </w:r>
      <w:r>
        <w:rPr>
          <w:b/>
        </w:rPr>
        <w:t>s</w:t>
      </w:r>
      <w:r>
        <w:t xml:space="preserve"> - £70k – Provide an additional 2 officers for one year to provide </w:t>
      </w:r>
      <w:r w:rsidR="003369AE">
        <w:t xml:space="preserve">additional </w:t>
      </w:r>
      <w:r>
        <w:t xml:space="preserve">support to Police operating in </w:t>
      </w:r>
      <w:r w:rsidR="003369AE">
        <w:t>areas where resources are particularly stretched at this point.</w:t>
      </w:r>
    </w:p>
    <w:p w14:paraId="15878386" w14:textId="77777777" w:rsidR="00B352A7" w:rsidRPr="00B352A7" w:rsidRDefault="00B352A7" w:rsidP="00B352A7">
      <w:pPr>
        <w:pStyle w:val="ListParagraph"/>
        <w:numPr>
          <w:ilvl w:val="0"/>
          <w:numId w:val="17"/>
        </w:numPr>
        <w:rPr>
          <w:rFonts w:cs="Arial"/>
          <w:lang w:eastAsia="en-GB"/>
        </w:rPr>
      </w:pPr>
      <w:r w:rsidRPr="00B352A7">
        <w:rPr>
          <w:rFonts w:cs="Arial"/>
          <w:b/>
          <w:lang w:eastAsia="en-GB"/>
        </w:rPr>
        <w:t>Waterways management</w:t>
      </w:r>
      <w:r w:rsidRPr="00B352A7">
        <w:rPr>
          <w:rFonts w:cs="Arial"/>
          <w:lang w:eastAsia="en-GB"/>
        </w:rPr>
        <w:t xml:space="preserve"> -£120k </w:t>
      </w:r>
      <w:r>
        <w:rPr>
          <w:rFonts w:cs="Arial"/>
          <w:lang w:eastAsia="en-GB"/>
        </w:rPr>
        <w:t>t</w:t>
      </w:r>
      <w:r w:rsidRPr="00B352A7">
        <w:rPr>
          <w:rFonts w:cs="Arial"/>
          <w:lang w:eastAsia="en-GB"/>
        </w:rPr>
        <w:t>wo years</w:t>
      </w:r>
      <w:r w:rsidR="003369AE">
        <w:rPr>
          <w:rFonts w:cs="Arial"/>
          <w:lang w:eastAsia="en-GB"/>
        </w:rPr>
        <w:t>’</w:t>
      </w:r>
      <w:r w:rsidRPr="00B352A7">
        <w:rPr>
          <w:rFonts w:cs="Arial"/>
          <w:lang w:eastAsia="en-GB"/>
        </w:rPr>
        <w:t xml:space="preserve"> resource for Waterways Management working with stakeholders and partners to improve and develop the canal and river areas. </w:t>
      </w:r>
    </w:p>
    <w:p w14:paraId="0ACD78DC" w14:textId="77777777" w:rsidR="00AF4153" w:rsidRDefault="00AF4153" w:rsidP="008D634F">
      <w:pPr>
        <w:ind w:left="1287" w:right="386"/>
      </w:pPr>
    </w:p>
    <w:p w14:paraId="2F52E234" w14:textId="77777777" w:rsidR="002D462C" w:rsidRDefault="002D462C" w:rsidP="008D634F">
      <w:pPr>
        <w:ind w:left="1287" w:right="386"/>
      </w:pPr>
    </w:p>
    <w:p w14:paraId="19BCA0B0" w14:textId="77777777" w:rsidR="002D462C" w:rsidRDefault="002D462C" w:rsidP="008D634F">
      <w:pPr>
        <w:ind w:left="1287" w:right="386"/>
      </w:pPr>
    </w:p>
    <w:p w14:paraId="746D3176" w14:textId="77777777" w:rsidR="002D462C" w:rsidRDefault="002D462C" w:rsidP="008D634F">
      <w:pPr>
        <w:ind w:left="1287" w:right="386"/>
      </w:pPr>
    </w:p>
    <w:p w14:paraId="1C0F7E8B" w14:textId="77777777" w:rsidR="002D462C" w:rsidRDefault="002D462C" w:rsidP="008D634F">
      <w:pPr>
        <w:ind w:left="1287" w:right="386"/>
      </w:pPr>
    </w:p>
    <w:p w14:paraId="19766BF2" w14:textId="77777777" w:rsidR="002D462C" w:rsidRDefault="002D462C" w:rsidP="008D634F">
      <w:pPr>
        <w:ind w:left="1287" w:right="386"/>
      </w:pPr>
    </w:p>
    <w:p w14:paraId="6F17E765" w14:textId="77777777" w:rsidR="002D462C" w:rsidRDefault="002D462C" w:rsidP="008D634F">
      <w:pPr>
        <w:ind w:left="1287" w:right="386"/>
      </w:pPr>
    </w:p>
    <w:p w14:paraId="03150EA6" w14:textId="77777777" w:rsidR="002D462C" w:rsidRDefault="002D462C" w:rsidP="008D634F">
      <w:pPr>
        <w:ind w:left="1287" w:right="386"/>
      </w:pPr>
    </w:p>
    <w:p w14:paraId="59DF9AA5" w14:textId="77777777" w:rsidR="002D462C" w:rsidRDefault="002D462C" w:rsidP="008D634F">
      <w:pPr>
        <w:ind w:left="1287" w:right="386"/>
      </w:pPr>
    </w:p>
    <w:p w14:paraId="723C8974" w14:textId="77777777" w:rsidR="002D462C" w:rsidRDefault="002D462C" w:rsidP="008D634F">
      <w:pPr>
        <w:ind w:left="1287" w:right="386"/>
      </w:pPr>
    </w:p>
    <w:p w14:paraId="17720BFF" w14:textId="77777777" w:rsidR="002D462C" w:rsidRDefault="002D462C" w:rsidP="008D634F">
      <w:pPr>
        <w:ind w:left="1287" w:right="386"/>
      </w:pPr>
    </w:p>
    <w:p w14:paraId="0D42FBFF" w14:textId="77777777" w:rsidR="002D462C" w:rsidRPr="007704A0" w:rsidRDefault="002D462C" w:rsidP="008D634F">
      <w:pPr>
        <w:ind w:left="1287" w:right="386"/>
      </w:pPr>
    </w:p>
    <w:p w14:paraId="07A246D9" w14:textId="77777777" w:rsidR="009E7E43" w:rsidRPr="007704A0" w:rsidRDefault="00390239" w:rsidP="00942056">
      <w:pPr>
        <w:ind w:left="567" w:right="386" w:hanging="567"/>
      </w:pPr>
      <w:r>
        <w:t>59</w:t>
      </w:r>
      <w:r w:rsidR="006D6BBB">
        <w:tab/>
      </w:r>
      <w:r w:rsidR="0000468F" w:rsidRPr="007704A0">
        <w:t xml:space="preserve">The </w:t>
      </w:r>
      <w:r w:rsidR="009431D6" w:rsidRPr="007704A0">
        <w:t xml:space="preserve">Council’s </w:t>
      </w:r>
      <w:r w:rsidR="00E90B63" w:rsidRPr="007704A0">
        <w:t>G</w:t>
      </w:r>
      <w:r w:rsidR="009431D6" w:rsidRPr="007704A0">
        <w:t xml:space="preserve">eneral </w:t>
      </w:r>
      <w:r w:rsidR="00E90B63" w:rsidRPr="007704A0">
        <w:t>F</w:t>
      </w:r>
      <w:r w:rsidR="009431D6" w:rsidRPr="007704A0">
        <w:t>und Budget for Consultation is set out in Appendi</w:t>
      </w:r>
      <w:r w:rsidR="00A83682" w:rsidRPr="007704A0">
        <w:t>ces</w:t>
      </w:r>
      <w:r w:rsidR="009431D6" w:rsidRPr="007704A0">
        <w:t xml:space="preserve"> 1</w:t>
      </w:r>
      <w:r w:rsidR="00B43878" w:rsidRPr="007704A0">
        <w:t>, 2 and 3</w:t>
      </w:r>
      <w:r w:rsidR="005A4481" w:rsidRPr="007704A0">
        <w:t xml:space="preserve"> </w:t>
      </w:r>
      <w:r w:rsidR="009E7E43" w:rsidRPr="007704A0">
        <w:t xml:space="preserve">attached </w:t>
      </w:r>
      <w:r w:rsidR="005A4481" w:rsidRPr="007704A0">
        <w:t xml:space="preserve">and </w:t>
      </w:r>
      <w:r w:rsidR="006017B0" w:rsidRPr="007704A0">
        <w:t>summarised</w:t>
      </w:r>
      <w:r w:rsidR="009E7E43" w:rsidRPr="007704A0">
        <w:t xml:space="preserve"> </w:t>
      </w:r>
      <w:r w:rsidR="00E462AA" w:rsidRPr="007704A0">
        <w:t>below:</w:t>
      </w:r>
    </w:p>
    <w:p w14:paraId="2DC8A5FF" w14:textId="77777777" w:rsidR="00B25909" w:rsidRDefault="00B25909" w:rsidP="008D6AFC">
      <w:pPr>
        <w:ind w:right="386"/>
        <w:rPr>
          <w:highlight w:val="yellow"/>
        </w:rPr>
      </w:pPr>
    </w:p>
    <w:p w14:paraId="4124796B" w14:textId="77777777" w:rsidR="002D462C" w:rsidRPr="00894B8A" w:rsidRDefault="002D462C" w:rsidP="00942056">
      <w:pPr>
        <w:ind w:left="567" w:right="386" w:hanging="567"/>
        <w:rPr>
          <w:highlight w:val="yellow"/>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944"/>
        <w:gridCol w:w="1701"/>
        <w:gridCol w:w="1470"/>
      </w:tblGrid>
      <w:tr w:rsidR="00B47C41" w:rsidRPr="00894B8A" w14:paraId="197E189C" w14:textId="77777777" w:rsidTr="005E4245">
        <w:tc>
          <w:tcPr>
            <w:tcW w:w="10185" w:type="dxa"/>
            <w:gridSpan w:val="5"/>
            <w:shd w:val="clear" w:color="auto" w:fill="auto"/>
          </w:tcPr>
          <w:p w14:paraId="2E735484" w14:textId="77777777" w:rsidR="00B47C41" w:rsidRPr="007F3AAC" w:rsidRDefault="00165A9E" w:rsidP="00471A6E">
            <w:pPr>
              <w:ind w:right="386"/>
              <w:rPr>
                <w:b/>
              </w:rPr>
            </w:pPr>
            <w:r w:rsidRPr="007F3AAC">
              <w:rPr>
                <w:b/>
              </w:rPr>
              <w:t xml:space="preserve">Table </w:t>
            </w:r>
            <w:r w:rsidR="008E66A7" w:rsidRPr="007F3AAC">
              <w:rPr>
                <w:b/>
              </w:rPr>
              <w:t>6</w:t>
            </w:r>
            <w:r w:rsidR="00B47C41" w:rsidRPr="007F3AAC">
              <w:rPr>
                <w:b/>
              </w:rPr>
              <w:t xml:space="preserve"> :  Summary General Fund Medium Term Financial Plan 201</w:t>
            </w:r>
            <w:r w:rsidR="00471A6E" w:rsidRPr="007F3AAC">
              <w:rPr>
                <w:b/>
              </w:rPr>
              <w:t>8</w:t>
            </w:r>
            <w:r w:rsidR="00B47C41" w:rsidRPr="007F3AAC">
              <w:rPr>
                <w:b/>
              </w:rPr>
              <w:t>/1</w:t>
            </w:r>
            <w:r w:rsidR="00471A6E" w:rsidRPr="007F3AAC">
              <w:rPr>
                <w:b/>
              </w:rPr>
              <w:t>9</w:t>
            </w:r>
            <w:r w:rsidR="00B47C41" w:rsidRPr="007F3AAC">
              <w:rPr>
                <w:b/>
              </w:rPr>
              <w:t xml:space="preserve"> to 20</w:t>
            </w:r>
            <w:r w:rsidR="00F00A73" w:rsidRPr="007F3AAC">
              <w:rPr>
                <w:b/>
              </w:rPr>
              <w:t>2</w:t>
            </w:r>
            <w:r w:rsidR="00471A6E" w:rsidRPr="007F3AAC">
              <w:rPr>
                <w:b/>
              </w:rPr>
              <w:t>1</w:t>
            </w:r>
            <w:r w:rsidR="00B47C41" w:rsidRPr="007F3AAC">
              <w:rPr>
                <w:b/>
              </w:rPr>
              <w:t>/</w:t>
            </w:r>
            <w:r w:rsidR="00793701" w:rsidRPr="007F3AAC">
              <w:rPr>
                <w:b/>
              </w:rPr>
              <w:t>2</w:t>
            </w:r>
            <w:r w:rsidR="00471A6E" w:rsidRPr="007F3AAC">
              <w:rPr>
                <w:b/>
              </w:rPr>
              <w:t>2</w:t>
            </w:r>
          </w:p>
        </w:tc>
      </w:tr>
      <w:tr w:rsidR="00471A6E" w:rsidRPr="00894B8A" w14:paraId="700C8DE2" w14:textId="77777777" w:rsidTr="005E4245">
        <w:tc>
          <w:tcPr>
            <w:tcW w:w="3510" w:type="dxa"/>
          </w:tcPr>
          <w:p w14:paraId="1582C52F" w14:textId="77777777" w:rsidR="00471A6E" w:rsidRPr="007F3AAC" w:rsidRDefault="00471A6E" w:rsidP="00E444D2">
            <w:pPr>
              <w:ind w:right="386"/>
            </w:pPr>
          </w:p>
        </w:tc>
        <w:tc>
          <w:tcPr>
            <w:tcW w:w="1560" w:type="dxa"/>
            <w:shd w:val="clear" w:color="auto" w:fill="E0E0E0"/>
          </w:tcPr>
          <w:p w14:paraId="54D34B81" w14:textId="77777777" w:rsidR="00471A6E" w:rsidRPr="007F3AAC" w:rsidRDefault="00471A6E" w:rsidP="00B22CFC">
            <w:pPr>
              <w:ind w:right="386"/>
              <w:rPr>
                <w:b/>
              </w:rPr>
            </w:pPr>
            <w:r w:rsidRPr="007F3AAC">
              <w:rPr>
                <w:b/>
              </w:rPr>
              <w:t>2018/19</w:t>
            </w:r>
          </w:p>
        </w:tc>
        <w:tc>
          <w:tcPr>
            <w:tcW w:w="1944" w:type="dxa"/>
            <w:shd w:val="clear" w:color="auto" w:fill="E0E0E0"/>
          </w:tcPr>
          <w:p w14:paraId="49046CE1" w14:textId="77777777" w:rsidR="00471A6E" w:rsidRPr="007F3AAC" w:rsidRDefault="00471A6E" w:rsidP="00B22CFC">
            <w:pPr>
              <w:ind w:right="386"/>
              <w:jc w:val="center"/>
              <w:rPr>
                <w:b/>
              </w:rPr>
            </w:pPr>
            <w:r w:rsidRPr="007F3AAC">
              <w:rPr>
                <w:b/>
              </w:rPr>
              <w:t>2019/20</w:t>
            </w:r>
          </w:p>
        </w:tc>
        <w:tc>
          <w:tcPr>
            <w:tcW w:w="1701" w:type="dxa"/>
            <w:shd w:val="clear" w:color="auto" w:fill="E0E0E0"/>
          </w:tcPr>
          <w:p w14:paraId="49D1C57C" w14:textId="77777777" w:rsidR="00471A6E" w:rsidRPr="007F3AAC" w:rsidRDefault="00471A6E" w:rsidP="00B22CFC">
            <w:pPr>
              <w:ind w:right="386"/>
              <w:jc w:val="center"/>
              <w:rPr>
                <w:b/>
              </w:rPr>
            </w:pPr>
            <w:r w:rsidRPr="007F3AAC">
              <w:rPr>
                <w:b/>
              </w:rPr>
              <w:t>2020/21</w:t>
            </w:r>
          </w:p>
        </w:tc>
        <w:tc>
          <w:tcPr>
            <w:tcW w:w="1470" w:type="dxa"/>
            <w:shd w:val="clear" w:color="auto" w:fill="E0E0E0"/>
          </w:tcPr>
          <w:p w14:paraId="0F920668" w14:textId="77777777" w:rsidR="00471A6E" w:rsidRPr="007F3AAC" w:rsidRDefault="00471A6E" w:rsidP="00471A6E">
            <w:pPr>
              <w:ind w:right="386"/>
              <w:jc w:val="center"/>
              <w:rPr>
                <w:b/>
              </w:rPr>
            </w:pPr>
            <w:r w:rsidRPr="007F3AAC">
              <w:rPr>
                <w:b/>
              </w:rPr>
              <w:t>2021/22</w:t>
            </w:r>
          </w:p>
        </w:tc>
      </w:tr>
      <w:tr w:rsidR="00471A6E" w:rsidRPr="00894B8A" w14:paraId="7DB4FC55" w14:textId="77777777" w:rsidTr="005E4245">
        <w:tc>
          <w:tcPr>
            <w:tcW w:w="3510" w:type="dxa"/>
          </w:tcPr>
          <w:p w14:paraId="2CAC0998" w14:textId="77777777" w:rsidR="00471A6E" w:rsidRPr="007F3AAC" w:rsidRDefault="00471A6E" w:rsidP="00E444D2">
            <w:pPr>
              <w:ind w:right="386"/>
            </w:pPr>
          </w:p>
        </w:tc>
        <w:tc>
          <w:tcPr>
            <w:tcW w:w="1560" w:type="dxa"/>
            <w:shd w:val="clear" w:color="auto" w:fill="E0E0E0"/>
          </w:tcPr>
          <w:p w14:paraId="5EF8D4AC" w14:textId="77777777" w:rsidR="00471A6E" w:rsidRPr="007F3AAC" w:rsidRDefault="00471A6E" w:rsidP="00B22CFC">
            <w:pPr>
              <w:ind w:right="386"/>
              <w:jc w:val="center"/>
              <w:rPr>
                <w:b/>
              </w:rPr>
            </w:pPr>
            <w:r w:rsidRPr="007F3AAC">
              <w:rPr>
                <w:b/>
              </w:rPr>
              <w:t>£000’s</w:t>
            </w:r>
          </w:p>
        </w:tc>
        <w:tc>
          <w:tcPr>
            <w:tcW w:w="1944" w:type="dxa"/>
            <w:shd w:val="clear" w:color="auto" w:fill="E0E0E0"/>
          </w:tcPr>
          <w:p w14:paraId="0B03BD21" w14:textId="77777777" w:rsidR="00471A6E" w:rsidRPr="007F3AAC" w:rsidRDefault="00471A6E" w:rsidP="00B22CFC">
            <w:pPr>
              <w:ind w:right="386"/>
              <w:jc w:val="center"/>
              <w:rPr>
                <w:b/>
              </w:rPr>
            </w:pPr>
            <w:r w:rsidRPr="007F3AAC">
              <w:rPr>
                <w:b/>
              </w:rPr>
              <w:t>£000’s</w:t>
            </w:r>
          </w:p>
        </w:tc>
        <w:tc>
          <w:tcPr>
            <w:tcW w:w="1701" w:type="dxa"/>
            <w:shd w:val="clear" w:color="auto" w:fill="E0E0E0"/>
          </w:tcPr>
          <w:p w14:paraId="297B4B05" w14:textId="77777777" w:rsidR="00471A6E" w:rsidRPr="007F3AAC" w:rsidRDefault="00471A6E" w:rsidP="00B22CFC">
            <w:pPr>
              <w:ind w:right="386"/>
              <w:jc w:val="center"/>
              <w:rPr>
                <w:b/>
              </w:rPr>
            </w:pPr>
            <w:r w:rsidRPr="007F3AAC">
              <w:rPr>
                <w:b/>
              </w:rPr>
              <w:t>£000’s</w:t>
            </w:r>
          </w:p>
        </w:tc>
        <w:tc>
          <w:tcPr>
            <w:tcW w:w="1470" w:type="dxa"/>
            <w:shd w:val="clear" w:color="auto" w:fill="E0E0E0"/>
          </w:tcPr>
          <w:p w14:paraId="79F9C2D9" w14:textId="77777777" w:rsidR="00471A6E" w:rsidRPr="007F3AAC" w:rsidRDefault="00471A6E" w:rsidP="00E444D2">
            <w:pPr>
              <w:ind w:right="386"/>
              <w:jc w:val="center"/>
              <w:rPr>
                <w:b/>
              </w:rPr>
            </w:pPr>
            <w:r w:rsidRPr="007F3AAC">
              <w:rPr>
                <w:b/>
              </w:rPr>
              <w:t>£000’s</w:t>
            </w:r>
          </w:p>
        </w:tc>
      </w:tr>
      <w:tr w:rsidR="00471A6E" w:rsidRPr="00894B8A" w14:paraId="2D8054D7" w14:textId="77777777" w:rsidTr="005E4245">
        <w:tc>
          <w:tcPr>
            <w:tcW w:w="3510" w:type="dxa"/>
          </w:tcPr>
          <w:p w14:paraId="234152AD" w14:textId="77777777" w:rsidR="00471A6E" w:rsidRPr="007F3AAC" w:rsidRDefault="00471A6E" w:rsidP="00E444D2">
            <w:pPr>
              <w:ind w:right="386"/>
              <w:rPr>
                <w:b/>
              </w:rPr>
            </w:pPr>
            <w:r w:rsidRPr="007F3AAC">
              <w:rPr>
                <w:b/>
              </w:rPr>
              <w:t>EXPENDITURE</w:t>
            </w:r>
          </w:p>
        </w:tc>
        <w:tc>
          <w:tcPr>
            <w:tcW w:w="1560" w:type="dxa"/>
          </w:tcPr>
          <w:p w14:paraId="1C0D6BD3" w14:textId="77777777" w:rsidR="00471A6E" w:rsidRPr="007F3AAC" w:rsidRDefault="00471A6E" w:rsidP="003811C0">
            <w:pPr>
              <w:ind w:right="386"/>
              <w:jc w:val="right"/>
            </w:pPr>
          </w:p>
        </w:tc>
        <w:tc>
          <w:tcPr>
            <w:tcW w:w="1944" w:type="dxa"/>
          </w:tcPr>
          <w:p w14:paraId="49EE413D" w14:textId="77777777" w:rsidR="00471A6E" w:rsidRPr="007F3AAC" w:rsidRDefault="00471A6E" w:rsidP="003811C0">
            <w:pPr>
              <w:jc w:val="right"/>
            </w:pPr>
          </w:p>
        </w:tc>
        <w:tc>
          <w:tcPr>
            <w:tcW w:w="1701" w:type="dxa"/>
          </w:tcPr>
          <w:p w14:paraId="544994DB" w14:textId="77777777" w:rsidR="00471A6E" w:rsidRPr="007F3AAC" w:rsidRDefault="00471A6E" w:rsidP="003811C0">
            <w:pPr>
              <w:ind w:right="-6"/>
              <w:jc w:val="right"/>
            </w:pPr>
          </w:p>
        </w:tc>
        <w:tc>
          <w:tcPr>
            <w:tcW w:w="1470" w:type="dxa"/>
          </w:tcPr>
          <w:p w14:paraId="25E06B47" w14:textId="77777777" w:rsidR="00471A6E" w:rsidRPr="007F3AAC" w:rsidRDefault="00471A6E" w:rsidP="003811C0">
            <w:pPr>
              <w:ind w:right="386"/>
              <w:jc w:val="right"/>
            </w:pPr>
          </w:p>
        </w:tc>
      </w:tr>
      <w:tr w:rsidR="00471A6E" w:rsidRPr="00894B8A" w14:paraId="205BA401" w14:textId="77777777" w:rsidTr="005E4245">
        <w:tc>
          <w:tcPr>
            <w:tcW w:w="3510" w:type="dxa"/>
          </w:tcPr>
          <w:p w14:paraId="2F4391FA" w14:textId="77777777" w:rsidR="00471A6E" w:rsidRPr="00A66C0B" w:rsidRDefault="00471A6E" w:rsidP="00E444D2">
            <w:pPr>
              <w:ind w:right="386"/>
            </w:pPr>
          </w:p>
        </w:tc>
        <w:tc>
          <w:tcPr>
            <w:tcW w:w="1560" w:type="dxa"/>
          </w:tcPr>
          <w:p w14:paraId="4E43DD71" w14:textId="77777777" w:rsidR="00471A6E" w:rsidRPr="00A66C0B" w:rsidRDefault="00471A6E" w:rsidP="008119A8">
            <w:pPr>
              <w:ind w:right="386"/>
              <w:jc w:val="right"/>
            </w:pPr>
          </w:p>
        </w:tc>
        <w:tc>
          <w:tcPr>
            <w:tcW w:w="1944" w:type="dxa"/>
          </w:tcPr>
          <w:p w14:paraId="1C9305AE" w14:textId="77777777" w:rsidR="00471A6E" w:rsidRPr="00A66C0B" w:rsidRDefault="00471A6E" w:rsidP="008119A8">
            <w:pPr>
              <w:jc w:val="right"/>
            </w:pPr>
          </w:p>
        </w:tc>
        <w:tc>
          <w:tcPr>
            <w:tcW w:w="1701" w:type="dxa"/>
          </w:tcPr>
          <w:p w14:paraId="4F4D9E94" w14:textId="77777777" w:rsidR="00471A6E" w:rsidRPr="00A66C0B" w:rsidRDefault="00471A6E" w:rsidP="008119A8">
            <w:pPr>
              <w:ind w:right="-6"/>
              <w:jc w:val="right"/>
            </w:pPr>
          </w:p>
        </w:tc>
        <w:tc>
          <w:tcPr>
            <w:tcW w:w="1470" w:type="dxa"/>
          </w:tcPr>
          <w:p w14:paraId="6FC980B5" w14:textId="77777777" w:rsidR="00471A6E" w:rsidRPr="00A66C0B" w:rsidRDefault="00471A6E" w:rsidP="008119A8">
            <w:pPr>
              <w:ind w:right="386"/>
              <w:jc w:val="right"/>
            </w:pPr>
          </w:p>
        </w:tc>
      </w:tr>
      <w:tr w:rsidR="00B25909" w:rsidRPr="00894B8A" w14:paraId="5BCC90CE" w14:textId="77777777" w:rsidTr="005E4245">
        <w:tc>
          <w:tcPr>
            <w:tcW w:w="3510" w:type="dxa"/>
          </w:tcPr>
          <w:p w14:paraId="76AF84C4" w14:textId="77777777" w:rsidR="00B25909" w:rsidRPr="00A66C0B" w:rsidRDefault="00B25909" w:rsidP="00302C27">
            <w:pPr>
              <w:ind w:right="386"/>
            </w:pPr>
            <w:r w:rsidRPr="00A66C0B">
              <w:t>Base Budget</w:t>
            </w:r>
          </w:p>
        </w:tc>
        <w:tc>
          <w:tcPr>
            <w:tcW w:w="1560" w:type="dxa"/>
          </w:tcPr>
          <w:p w14:paraId="46853B34" w14:textId="77777777" w:rsidR="00B25909" w:rsidRPr="00A66C0B" w:rsidRDefault="00B25909" w:rsidP="00B25909">
            <w:pPr>
              <w:tabs>
                <w:tab w:val="left" w:pos="1344"/>
              </w:tabs>
              <w:ind w:right="34"/>
              <w:jc w:val="right"/>
            </w:pPr>
            <w:r w:rsidRPr="00A66C0B">
              <w:t>21,869</w:t>
            </w:r>
          </w:p>
        </w:tc>
        <w:tc>
          <w:tcPr>
            <w:tcW w:w="1944" w:type="dxa"/>
          </w:tcPr>
          <w:p w14:paraId="003D183B" w14:textId="77777777" w:rsidR="00B25909" w:rsidRPr="00A66C0B" w:rsidRDefault="00B25909" w:rsidP="00F00A73">
            <w:pPr>
              <w:jc w:val="right"/>
            </w:pPr>
            <w:r w:rsidRPr="00A66C0B">
              <w:t>21,869</w:t>
            </w:r>
          </w:p>
        </w:tc>
        <w:tc>
          <w:tcPr>
            <w:tcW w:w="1701" w:type="dxa"/>
          </w:tcPr>
          <w:p w14:paraId="42D736D9" w14:textId="77777777" w:rsidR="00B25909" w:rsidRPr="00A66C0B" w:rsidRDefault="00B25909" w:rsidP="00F00A73">
            <w:pPr>
              <w:jc w:val="right"/>
            </w:pPr>
            <w:r w:rsidRPr="00A66C0B">
              <w:t>21,869</w:t>
            </w:r>
          </w:p>
        </w:tc>
        <w:tc>
          <w:tcPr>
            <w:tcW w:w="1470" w:type="dxa"/>
          </w:tcPr>
          <w:p w14:paraId="555FEB23" w14:textId="77777777" w:rsidR="00B25909" w:rsidRPr="00A66C0B" w:rsidRDefault="00B25909" w:rsidP="00F00A73">
            <w:pPr>
              <w:jc w:val="right"/>
            </w:pPr>
            <w:r w:rsidRPr="00A66C0B">
              <w:t>21,869</w:t>
            </w:r>
          </w:p>
        </w:tc>
      </w:tr>
      <w:tr w:rsidR="00471A6E" w:rsidRPr="00894B8A" w14:paraId="10BCD562" w14:textId="77777777" w:rsidTr="005E4245">
        <w:tc>
          <w:tcPr>
            <w:tcW w:w="3510" w:type="dxa"/>
          </w:tcPr>
          <w:p w14:paraId="51DC08AD" w14:textId="77777777" w:rsidR="00471A6E" w:rsidRPr="00A66C0B" w:rsidRDefault="00471A6E" w:rsidP="00302C27">
            <w:pPr>
              <w:ind w:right="386"/>
            </w:pPr>
            <w:r w:rsidRPr="00A66C0B">
              <w:t>Efficiencies</w:t>
            </w:r>
          </w:p>
        </w:tc>
        <w:tc>
          <w:tcPr>
            <w:tcW w:w="1560" w:type="dxa"/>
          </w:tcPr>
          <w:p w14:paraId="0145A686" w14:textId="77777777" w:rsidR="00471A6E" w:rsidRPr="00A66C0B" w:rsidRDefault="00737519" w:rsidP="00B25909">
            <w:pPr>
              <w:tabs>
                <w:tab w:val="left" w:pos="1404"/>
              </w:tabs>
              <w:jc w:val="right"/>
            </w:pPr>
            <w:r w:rsidRPr="00A66C0B">
              <w:t>(4</w:t>
            </w:r>
            <w:r w:rsidR="00B25909" w:rsidRPr="00A66C0B">
              <w:t>09</w:t>
            </w:r>
            <w:r w:rsidRPr="00A66C0B">
              <w:t>)</w:t>
            </w:r>
          </w:p>
        </w:tc>
        <w:tc>
          <w:tcPr>
            <w:tcW w:w="1944" w:type="dxa"/>
          </w:tcPr>
          <w:p w14:paraId="681215B4" w14:textId="77777777" w:rsidR="00471A6E" w:rsidRPr="00A66C0B" w:rsidRDefault="00EC0302" w:rsidP="00B25909">
            <w:pPr>
              <w:jc w:val="right"/>
            </w:pPr>
            <w:r w:rsidRPr="00A66C0B">
              <w:t>(</w:t>
            </w:r>
            <w:r w:rsidR="00B25909" w:rsidRPr="00A66C0B">
              <w:t>578</w:t>
            </w:r>
            <w:r w:rsidRPr="00A66C0B">
              <w:t>)</w:t>
            </w:r>
          </w:p>
        </w:tc>
        <w:tc>
          <w:tcPr>
            <w:tcW w:w="1701" w:type="dxa"/>
          </w:tcPr>
          <w:p w14:paraId="18D78EFC" w14:textId="77777777" w:rsidR="00471A6E" w:rsidRPr="00A66C0B" w:rsidRDefault="00EC0302" w:rsidP="00B25909">
            <w:pPr>
              <w:ind w:right="-6"/>
              <w:jc w:val="right"/>
            </w:pPr>
            <w:r w:rsidRPr="00A66C0B">
              <w:t>(</w:t>
            </w:r>
            <w:r w:rsidR="00B25909" w:rsidRPr="00A66C0B">
              <w:t>786</w:t>
            </w:r>
            <w:r w:rsidRPr="00A66C0B">
              <w:t>)</w:t>
            </w:r>
          </w:p>
        </w:tc>
        <w:tc>
          <w:tcPr>
            <w:tcW w:w="1470" w:type="dxa"/>
          </w:tcPr>
          <w:p w14:paraId="20950A67" w14:textId="77777777" w:rsidR="00471A6E" w:rsidRPr="00A66C0B" w:rsidRDefault="00EC0302" w:rsidP="00B25909">
            <w:pPr>
              <w:tabs>
                <w:tab w:val="left" w:pos="1350"/>
              </w:tabs>
              <w:jc w:val="right"/>
            </w:pPr>
            <w:r w:rsidRPr="00A66C0B">
              <w:t>(</w:t>
            </w:r>
            <w:r w:rsidR="00B25909" w:rsidRPr="00A66C0B">
              <w:t>1,197</w:t>
            </w:r>
            <w:r w:rsidRPr="00A66C0B">
              <w:t>)</w:t>
            </w:r>
          </w:p>
        </w:tc>
      </w:tr>
      <w:tr w:rsidR="00471A6E" w:rsidRPr="00894B8A" w14:paraId="3B0D5489" w14:textId="77777777" w:rsidTr="005E4245">
        <w:tc>
          <w:tcPr>
            <w:tcW w:w="3510" w:type="dxa"/>
          </w:tcPr>
          <w:p w14:paraId="3752BA6A" w14:textId="77777777" w:rsidR="00471A6E" w:rsidRPr="00A66C0B" w:rsidRDefault="00471A6E" w:rsidP="00302C27">
            <w:pPr>
              <w:ind w:right="386"/>
            </w:pPr>
            <w:r w:rsidRPr="00A66C0B">
              <w:t>Fees and Charges</w:t>
            </w:r>
          </w:p>
        </w:tc>
        <w:tc>
          <w:tcPr>
            <w:tcW w:w="1560" w:type="dxa"/>
          </w:tcPr>
          <w:p w14:paraId="7BC6359E" w14:textId="77777777" w:rsidR="00471A6E" w:rsidRPr="00A66C0B" w:rsidRDefault="00737519" w:rsidP="00B25909">
            <w:pPr>
              <w:tabs>
                <w:tab w:val="left" w:pos="1404"/>
              </w:tabs>
              <w:jc w:val="right"/>
            </w:pPr>
            <w:r w:rsidRPr="00A66C0B">
              <w:t>(</w:t>
            </w:r>
            <w:r w:rsidR="00B25909" w:rsidRPr="00A66C0B">
              <w:t>138)</w:t>
            </w:r>
          </w:p>
        </w:tc>
        <w:tc>
          <w:tcPr>
            <w:tcW w:w="1944" w:type="dxa"/>
          </w:tcPr>
          <w:p w14:paraId="7E03E8AE" w14:textId="77777777" w:rsidR="00471A6E" w:rsidRPr="00A66C0B" w:rsidRDefault="00737519" w:rsidP="00B25909">
            <w:pPr>
              <w:jc w:val="right"/>
            </w:pPr>
            <w:r w:rsidRPr="00A66C0B">
              <w:t>(</w:t>
            </w:r>
            <w:r w:rsidR="00B25909" w:rsidRPr="00A66C0B">
              <w:t>666</w:t>
            </w:r>
            <w:r w:rsidRPr="00A66C0B">
              <w:t>)</w:t>
            </w:r>
          </w:p>
        </w:tc>
        <w:tc>
          <w:tcPr>
            <w:tcW w:w="1701" w:type="dxa"/>
          </w:tcPr>
          <w:p w14:paraId="770245D5" w14:textId="77777777" w:rsidR="00471A6E" w:rsidRPr="00A66C0B" w:rsidRDefault="00737519" w:rsidP="00B25909">
            <w:pPr>
              <w:ind w:right="-6"/>
              <w:jc w:val="right"/>
            </w:pPr>
            <w:r w:rsidRPr="00A66C0B">
              <w:t>(1,</w:t>
            </w:r>
            <w:r w:rsidR="00B25909" w:rsidRPr="00A66C0B">
              <w:t>251</w:t>
            </w:r>
            <w:r w:rsidRPr="00A66C0B">
              <w:t>)</w:t>
            </w:r>
          </w:p>
        </w:tc>
        <w:tc>
          <w:tcPr>
            <w:tcW w:w="1470" w:type="dxa"/>
          </w:tcPr>
          <w:p w14:paraId="2D3DE880" w14:textId="77777777" w:rsidR="00471A6E" w:rsidRPr="00A66C0B" w:rsidRDefault="00737519" w:rsidP="00A66C0B">
            <w:pPr>
              <w:tabs>
                <w:tab w:val="left" w:pos="1350"/>
              </w:tabs>
              <w:jc w:val="right"/>
            </w:pPr>
            <w:r w:rsidRPr="00A66C0B">
              <w:t>(</w:t>
            </w:r>
            <w:r w:rsidR="00A66C0B" w:rsidRPr="00A66C0B">
              <w:t>1,943</w:t>
            </w:r>
            <w:r w:rsidRPr="00A66C0B">
              <w:t>)</w:t>
            </w:r>
          </w:p>
        </w:tc>
      </w:tr>
      <w:tr w:rsidR="00471A6E" w:rsidRPr="00894B8A" w14:paraId="3F239965" w14:textId="77777777" w:rsidTr="005E4245">
        <w:tc>
          <w:tcPr>
            <w:tcW w:w="3510" w:type="dxa"/>
          </w:tcPr>
          <w:p w14:paraId="0970E40A" w14:textId="77777777" w:rsidR="00471A6E" w:rsidRPr="00A66C0B" w:rsidRDefault="00471A6E" w:rsidP="00302C27">
            <w:pPr>
              <w:ind w:right="386"/>
            </w:pPr>
            <w:r w:rsidRPr="00A66C0B">
              <w:t>Service reductions</w:t>
            </w:r>
          </w:p>
        </w:tc>
        <w:tc>
          <w:tcPr>
            <w:tcW w:w="1560" w:type="dxa"/>
          </w:tcPr>
          <w:p w14:paraId="4AE9060F" w14:textId="77777777" w:rsidR="00471A6E" w:rsidRPr="00A66C0B" w:rsidRDefault="00737519" w:rsidP="00302C27">
            <w:pPr>
              <w:tabs>
                <w:tab w:val="left" w:pos="1404"/>
              </w:tabs>
              <w:jc w:val="right"/>
            </w:pPr>
            <w:r w:rsidRPr="00A66C0B">
              <w:t>(8)</w:t>
            </w:r>
          </w:p>
        </w:tc>
        <w:tc>
          <w:tcPr>
            <w:tcW w:w="1944" w:type="dxa"/>
          </w:tcPr>
          <w:p w14:paraId="689A50A7" w14:textId="77777777" w:rsidR="00471A6E" w:rsidRPr="00A66C0B" w:rsidRDefault="00737519" w:rsidP="00302C27">
            <w:pPr>
              <w:jc w:val="right"/>
            </w:pPr>
            <w:r w:rsidRPr="00A66C0B">
              <w:t>(15)</w:t>
            </w:r>
          </w:p>
        </w:tc>
        <w:tc>
          <w:tcPr>
            <w:tcW w:w="1701" w:type="dxa"/>
          </w:tcPr>
          <w:p w14:paraId="03150365" w14:textId="77777777" w:rsidR="00471A6E" w:rsidRPr="00A66C0B" w:rsidRDefault="00737519" w:rsidP="00302C27">
            <w:pPr>
              <w:ind w:right="-6"/>
              <w:jc w:val="right"/>
            </w:pPr>
            <w:r w:rsidRPr="00A66C0B">
              <w:t>(22)</w:t>
            </w:r>
          </w:p>
        </w:tc>
        <w:tc>
          <w:tcPr>
            <w:tcW w:w="1470" w:type="dxa"/>
          </w:tcPr>
          <w:p w14:paraId="582FDC4F" w14:textId="77777777" w:rsidR="00471A6E" w:rsidRPr="00A66C0B" w:rsidRDefault="00737519" w:rsidP="00302C27">
            <w:pPr>
              <w:tabs>
                <w:tab w:val="left" w:pos="1350"/>
              </w:tabs>
              <w:jc w:val="right"/>
            </w:pPr>
            <w:r w:rsidRPr="00A66C0B">
              <w:t>(28)</w:t>
            </w:r>
          </w:p>
        </w:tc>
      </w:tr>
      <w:tr w:rsidR="00471A6E" w:rsidRPr="00894B8A" w14:paraId="326A2783" w14:textId="77777777" w:rsidTr="005E4245">
        <w:tc>
          <w:tcPr>
            <w:tcW w:w="3510" w:type="dxa"/>
          </w:tcPr>
          <w:p w14:paraId="53C0883D" w14:textId="77777777" w:rsidR="00471A6E" w:rsidRPr="00A66C0B" w:rsidRDefault="00471A6E" w:rsidP="00302C27">
            <w:pPr>
              <w:ind w:right="386"/>
            </w:pPr>
            <w:r w:rsidRPr="00A66C0B">
              <w:t>Inflation &amp; other pressures</w:t>
            </w:r>
          </w:p>
        </w:tc>
        <w:tc>
          <w:tcPr>
            <w:tcW w:w="1560" w:type="dxa"/>
          </w:tcPr>
          <w:p w14:paraId="1C37701E" w14:textId="77777777" w:rsidR="00471A6E" w:rsidRPr="00A66C0B" w:rsidRDefault="00A66C0B" w:rsidP="00F615A9">
            <w:pPr>
              <w:tabs>
                <w:tab w:val="left" w:pos="1404"/>
              </w:tabs>
              <w:jc w:val="right"/>
            </w:pPr>
            <w:r w:rsidRPr="00A66C0B">
              <w:t>911</w:t>
            </w:r>
          </w:p>
        </w:tc>
        <w:tc>
          <w:tcPr>
            <w:tcW w:w="1944" w:type="dxa"/>
          </w:tcPr>
          <w:p w14:paraId="15D4EE37" w14:textId="77777777" w:rsidR="00471A6E" w:rsidRPr="00A66C0B" w:rsidRDefault="00737519" w:rsidP="00A66C0B">
            <w:pPr>
              <w:jc w:val="right"/>
            </w:pPr>
            <w:r w:rsidRPr="00A66C0B">
              <w:t>1,</w:t>
            </w:r>
            <w:r w:rsidR="00A66C0B" w:rsidRPr="00A66C0B">
              <w:t>148</w:t>
            </w:r>
          </w:p>
        </w:tc>
        <w:tc>
          <w:tcPr>
            <w:tcW w:w="1701" w:type="dxa"/>
          </w:tcPr>
          <w:p w14:paraId="24C37A1E" w14:textId="77777777" w:rsidR="00471A6E" w:rsidRPr="00A66C0B" w:rsidRDefault="00737519" w:rsidP="00A66C0B">
            <w:pPr>
              <w:ind w:right="-6"/>
              <w:jc w:val="right"/>
            </w:pPr>
            <w:r w:rsidRPr="00A66C0B">
              <w:t>1,</w:t>
            </w:r>
            <w:r w:rsidR="00A66C0B" w:rsidRPr="00A66C0B">
              <w:t>282</w:t>
            </w:r>
          </w:p>
        </w:tc>
        <w:tc>
          <w:tcPr>
            <w:tcW w:w="1470" w:type="dxa"/>
          </w:tcPr>
          <w:p w14:paraId="7A3084F8" w14:textId="77777777" w:rsidR="00471A6E" w:rsidRPr="00A66C0B" w:rsidRDefault="00A66C0B" w:rsidP="00F615A9">
            <w:pPr>
              <w:tabs>
                <w:tab w:val="left" w:pos="1350"/>
              </w:tabs>
              <w:jc w:val="right"/>
            </w:pPr>
            <w:r w:rsidRPr="00A66C0B">
              <w:t>1,881</w:t>
            </w:r>
          </w:p>
        </w:tc>
      </w:tr>
      <w:tr w:rsidR="00471A6E" w:rsidRPr="00894B8A" w14:paraId="520E967A" w14:textId="77777777" w:rsidTr="005E4245">
        <w:tc>
          <w:tcPr>
            <w:tcW w:w="3510" w:type="dxa"/>
          </w:tcPr>
          <w:p w14:paraId="2D7AAB87" w14:textId="77777777" w:rsidR="00471A6E" w:rsidRPr="00A66C0B" w:rsidRDefault="00471A6E" w:rsidP="00302C27">
            <w:pPr>
              <w:ind w:right="386"/>
            </w:pPr>
            <w:r w:rsidRPr="00A66C0B">
              <w:t>Revenue Contributions</w:t>
            </w:r>
          </w:p>
        </w:tc>
        <w:tc>
          <w:tcPr>
            <w:tcW w:w="1560" w:type="dxa"/>
          </w:tcPr>
          <w:p w14:paraId="561312D6" w14:textId="77777777" w:rsidR="00471A6E" w:rsidRPr="00A66C0B" w:rsidRDefault="00737519" w:rsidP="00F615A9">
            <w:pPr>
              <w:tabs>
                <w:tab w:val="left" w:pos="1404"/>
              </w:tabs>
              <w:jc w:val="right"/>
            </w:pPr>
            <w:r w:rsidRPr="00A66C0B">
              <w:t>1,218</w:t>
            </w:r>
          </w:p>
        </w:tc>
        <w:tc>
          <w:tcPr>
            <w:tcW w:w="1944" w:type="dxa"/>
          </w:tcPr>
          <w:p w14:paraId="34C68FCF" w14:textId="77777777" w:rsidR="00471A6E" w:rsidRPr="00A66C0B" w:rsidRDefault="00737519" w:rsidP="00EA5DBF">
            <w:pPr>
              <w:jc w:val="right"/>
            </w:pPr>
            <w:r w:rsidRPr="00A66C0B">
              <w:t>1,</w:t>
            </w:r>
            <w:r w:rsidR="00EA5DBF" w:rsidRPr="00A66C0B">
              <w:t>5</w:t>
            </w:r>
            <w:r w:rsidRPr="00A66C0B">
              <w:t>43</w:t>
            </w:r>
          </w:p>
        </w:tc>
        <w:tc>
          <w:tcPr>
            <w:tcW w:w="1701" w:type="dxa"/>
          </w:tcPr>
          <w:p w14:paraId="4087B989" w14:textId="77777777" w:rsidR="00471A6E" w:rsidRPr="00A66C0B" w:rsidRDefault="00737519" w:rsidP="00EA5DBF">
            <w:pPr>
              <w:ind w:right="-6"/>
              <w:jc w:val="right"/>
            </w:pPr>
            <w:r w:rsidRPr="00A66C0B">
              <w:t>1,</w:t>
            </w:r>
            <w:r w:rsidR="00EA5DBF" w:rsidRPr="00A66C0B">
              <w:t>5</w:t>
            </w:r>
            <w:r w:rsidRPr="00A66C0B">
              <w:t>47</w:t>
            </w:r>
          </w:p>
        </w:tc>
        <w:tc>
          <w:tcPr>
            <w:tcW w:w="1470" w:type="dxa"/>
          </w:tcPr>
          <w:p w14:paraId="31E5A598" w14:textId="77777777" w:rsidR="00471A6E" w:rsidRPr="00A66C0B" w:rsidRDefault="00737519" w:rsidP="00F615A9">
            <w:pPr>
              <w:tabs>
                <w:tab w:val="left" w:pos="1350"/>
              </w:tabs>
              <w:jc w:val="right"/>
            </w:pPr>
            <w:r w:rsidRPr="00A66C0B">
              <w:t>1,114</w:t>
            </w:r>
          </w:p>
        </w:tc>
      </w:tr>
      <w:tr w:rsidR="00471A6E" w:rsidRPr="00894B8A" w14:paraId="397EC4D3" w14:textId="77777777" w:rsidTr="005E4245">
        <w:tc>
          <w:tcPr>
            <w:tcW w:w="3510" w:type="dxa"/>
          </w:tcPr>
          <w:p w14:paraId="14AFB37E" w14:textId="77777777" w:rsidR="00471A6E" w:rsidRPr="00A66C0B" w:rsidRDefault="00471A6E" w:rsidP="00302C27">
            <w:pPr>
              <w:ind w:right="386"/>
            </w:pPr>
            <w:r w:rsidRPr="00A66C0B">
              <w:t xml:space="preserve">Corporate costs including  interest, MRP, pay  </w:t>
            </w:r>
          </w:p>
        </w:tc>
        <w:tc>
          <w:tcPr>
            <w:tcW w:w="1560" w:type="dxa"/>
          </w:tcPr>
          <w:p w14:paraId="3385B534" w14:textId="77777777" w:rsidR="00471A6E" w:rsidRPr="00A66C0B" w:rsidRDefault="00A66C0B" w:rsidP="00302C27">
            <w:pPr>
              <w:tabs>
                <w:tab w:val="left" w:pos="1404"/>
              </w:tabs>
              <w:jc w:val="right"/>
            </w:pPr>
            <w:r w:rsidRPr="00A66C0B">
              <w:t>(1,244)</w:t>
            </w:r>
          </w:p>
        </w:tc>
        <w:tc>
          <w:tcPr>
            <w:tcW w:w="1944" w:type="dxa"/>
          </w:tcPr>
          <w:p w14:paraId="2B8549DC" w14:textId="77777777" w:rsidR="00471A6E" w:rsidRPr="00A66C0B" w:rsidRDefault="00A66C0B" w:rsidP="00A54031">
            <w:pPr>
              <w:jc w:val="right"/>
            </w:pPr>
            <w:r w:rsidRPr="00A66C0B">
              <w:t>(2</w:t>
            </w:r>
            <w:r>
              <w:t>,</w:t>
            </w:r>
            <w:r w:rsidRPr="00A66C0B">
              <w:t>408)</w:t>
            </w:r>
          </w:p>
        </w:tc>
        <w:tc>
          <w:tcPr>
            <w:tcW w:w="1701" w:type="dxa"/>
          </w:tcPr>
          <w:p w14:paraId="336F38B7" w14:textId="77777777" w:rsidR="00471A6E" w:rsidRPr="00A66C0B" w:rsidRDefault="00A66C0B" w:rsidP="00A66C0B">
            <w:pPr>
              <w:ind w:right="-6"/>
              <w:jc w:val="right"/>
            </w:pPr>
            <w:r w:rsidRPr="00A66C0B">
              <w:t>(2,399)</w:t>
            </w:r>
          </w:p>
        </w:tc>
        <w:tc>
          <w:tcPr>
            <w:tcW w:w="1470" w:type="dxa"/>
          </w:tcPr>
          <w:p w14:paraId="4CDF9C5F" w14:textId="77777777" w:rsidR="00471A6E" w:rsidRPr="00A66C0B" w:rsidRDefault="00A66C0B" w:rsidP="00711203">
            <w:pPr>
              <w:tabs>
                <w:tab w:val="left" w:pos="1350"/>
              </w:tabs>
              <w:jc w:val="right"/>
            </w:pPr>
            <w:r w:rsidRPr="00A66C0B">
              <w:t>(2,569)</w:t>
            </w:r>
          </w:p>
        </w:tc>
      </w:tr>
      <w:tr w:rsidR="00471A6E" w:rsidRPr="00894B8A" w14:paraId="558BE821" w14:textId="77777777" w:rsidTr="005E4245">
        <w:tc>
          <w:tcPr>
            <w:tcW w:w="3510" w:type="dxa"/>
          </w:tcPr>
          <w:p w14:paraId="4F51A419" w14:textId="77777777" w:rsidR="00471A6E" w:rsidRPr="007F3AAC" w:rsidRDefault="00471A6E" w:rsidP="00302C27">
            <w:pPr>
              <w:ind w:right="386"/>
            </w:pPr>
            <w:r w:rsidRPr="007F3AAC">
              <w:t>Contingencies</w:t>
            </w:r>
          </w:p>
        </w:tc>
        <w:tc>
          <w:tcPr>
            <w:tcW w:w="1560" w:type="dxa"/>
          </w:tcPr>
          <w:p w14:paraId="0A113DEF" w14:textId="77777777" w:rsidR="00471A6E" w:rsidRPr="007F3AAC" w:rsidRDefault="00737519" w:rsidP="007F3AAC">
            <w:pPr>
              <w:tabs>
                <w:tab w:val="left" w:pos="1404"/>
              </w:tabs>
              <w:jc w:val="right"/>
            </w:pPr>
            <w:r w:rsidRPr="007F3AAC">
              <w:t>1,</w:t>
            </w:r>
            <w:r w:rsidR="007F3AAC" w:rsidRPr="007F3AAC">
              <w:t>523</w:t>
            </w:r>
          </w:p>
        </w:tc>
        <w:tc>
          <w:tcPr>
            <w:tcW w:w="1944" w:type="dxa"/>
          </w:tcPr>
          <w:p w14:paraId="5281AE0C" w14:textId="77777777" w:rsidR="00471A6E" w:rsidRPr="007F3AAC" w:rsidRDefault="007F3AAC" w:rsidP="00302C27">
            <w:pPr>
              <w:jc w:val="right"/>
            </w:pPr>
            <w:r w:rsidRPr="007F3AAC">
              <w:t>2,235</w:t>
            </w:r>
          </w:p>
        </w:tc>
        <w:tc>
          <w:tcPr>
            <w:tcW w:w="1701" w:type="dxa"/>
          </w:tcPr>
          <w:p w14:paraId="53FEF35A" w14:textId="77777777" w:rsidR="00471A6E" w:rsidRPr="007F3AAC" w:rsidRDefault="007F3AAC" w:rsidP="00A66C0B">
            <w:pPr>
              <w:ind w:right="-6"/>
              <w:jc w:val="right"/>
            </w:pPr>
            <w:r w:rsidRPr="007F3AAC">
              <w:t>3</w:t>
            </w:r>
            <w:r w:rsidR="00A66C0B">
              <w:t>,</w:t>
            </w:r>
            <w:r w:rsidRPr="007F3AAC">
              <w:t>838</w:t>
            </w:r>
          </w:p>
        </w:tc>
        <w:tc>
          <w:tcPr>
            <w:tcW w:w="1470" w:type="dxa"/>
          </w:tcPr>
          <w:p w14:paraId="76CA9A3C" w14:textId="77777777" w:rsidR="00471A6E" w:rsidRPr="007F3AAC" w:rsidRDefault="00737519" w:rsidP="007F3AAC">
            <w:pPr>
              <w:tabs>
                <w:tab w:val="left" w:pos="1350"/>
              </w:tabs>
              <w:jc w:val="right"/>
            </w:pPr>
            <w:r w:rsidRPr="007F3AAC">
              <w:t>5,</w:t>
            </w:r>
            <w:r w:rsidR="007F3AAC" w:rsidRPr="007F3AAC">
              <w:t>231</w:t>
            </w:r>
          </w:p>
        </w:tc>
      </w:tr>
      <w:tr w:rsidR="00471A6E" w:rsidRPr="00894B8A" w14:paraId="055FCE40" w14:textId="77777777" w:rsidTr="005E4245">
        <w:tc>
          <w:tcPr>
            <w:tcW w:w="3510" w:type="dxa"/>
          </w:tcPr>
          <w:p w14:paraId="73552F66" w14:textId="77777777" w:rsidR="00471A6E" w:rsidRPr="007F3AAC" w:rsidRDefault="00471A6E" w:rsidP="00E444D2">
            <w:pPr>
              <w:ind w:right="386"/>
              <w:rPr>
                <w:b/>
              </w:rPr>
            </w:pPr>
          </w:p>
        </w:tc>
        <w:tc>
          <w:tcPr>
            <w:tcW w:w="1560" w:type="dxa"/>
          </w:tcPr>
          <w:p w14:paraId="26084E19" w14:textId="77777777" w:rsidR="00471A6E" w:rsidRPr="007F3AAC" w:rsidRDefault="00471A6E" w:rsidP="005E4245">
            <w:pPr>
              <w:tabs>
                <w:tab w:val="left" w:pos="1404"/>
              </w:tabs>
              <w:jc w:val="right"/>
            </w:pPr>
          </w:p>
        </w:tc>
        <w:tc>
          <w:tcPr>
            <w:tcW w:w="1944" w:type="dxa"/>
          </w:tcPr>
          <w:p w14:paraId="27A8DA3E" w14:textId="77777777" w:rsidR="00471A6E" w:rsidRPr="007F3AAC" w:rsidRDefault="00471A6E" w:rsidP="005E4245">
            <w:pPr>
              <w:jc w:val="right"/>
            </w:pPr>
          </w:p>
        </w:tc>
        <w:tc>
          <w:tcPr>
            <w:tcW w:w="1701" w:type="dxa"/>
          </w:tcPr>
          <w:p w14:paraId="13C9491A" w14:textId="77777777" w:rsidR="00471A6E" w:rsidRPr="007F3AAC" w:rsidRDefault="00471A6E" w:rsidP="005E4245">
            <w:pPr>
              <w:ind w:right="-6"/>
              <w:jc w:val="right"/>
            </w:pPr>
          </w:p>
        </w:tc>
        <w:tc>
          <w:tcPr>
            <w:tcW w:w="1470" w:type="dxa"/>
          </w:tcPr>
          <w:p w14:paraId="2C063659" w14:textId="77777777" w:rsidR="00471A6E" w:rsidRPr="007F3AAC" w:rsidRDefault="00471A6E" w:rsidP="005E4245">
            <w:pPr>
              <w:tabs>
                <w:tab w:val="left" w:pos="1254"/>
              </w:tabs>
              <w:jc w:val="right"/>
            </w:pPr>
          </w:p>
        </w:tc>
      </w:tr>
      <w:tr w:rsidR="00471A6E" w:rsidRPr="00894B8A" w14:paraId="31A2AAB3" w14:textId="77777777" w:rsidTr="00C26E9D">
        <w:tc>
          <w:tcPr>
            <w:tcW w:w="3510" w:type="dxa"/>
          </w:tcPr>
          <w:p w14:paraId="47781F87" w14:textId="77777777" w:rsidR="00471A6E" w:rsidRPr="007F3AAC" w:rsidRDefault="00471A6E" w:rsidP="008C3B46">
            <w:pPr>
              <w:ind w:right="386"/>
            </w:pPr>
            <w:r w:rsidRPr="007F3AAC">
              <w:t xml:space="preserve">Transfers to/ (from) </w:t>
            </w:r>
            <w:r w:rsidR="00737519" w:rsidRPr="007F3AAC">
              <w:t xml:space="preserve">reserves and </w:t>
            </w:r>
            <w:r w:rsidRPr="007F3AAC">
              <w:t>working balances</w:t>
            </w:r>
          </w:p>
        </w:tc>
        <w:tc>
          <w:tcPr>
            <w:tcW w:w="1560" w:type="dxa"/>
          </w:tcPr>
          <w:p w14:paraId="665E534F" w14:textId="77777777" w:rsidR="00471A6E" w:rsidRPr="007F3AAC" w:rsidRDefault="00737519" w:rsidP="007F3AAC">
            <w:pPr>
              <w:tabs>
                <w:tab w:val="left" w:pos="1404"/>
              </w:tabs>
              <w:jc w:val="right"/>
            </w:pPr>
            <w:r w:rsidRPr="007F3AAC">
              <w:t>(</w:t>
            </w:r>
            <w:r w:rsidR="007F3AAC" w:rsidRPr="007F3AAC">
              <w:t>441)</w:t>
            </w:r>
          </w:p>
        </w:tc>
        <w:tc>
          <w:tcPr>
            <w:tcW w:w="1944" w:type="dxa"/>
          </w:tcPr>
          <w:p w14:paraId="4BAEF2A9" w14:textId="77777777" w:rsidR="00471A6E" w:rsidRPr="007F3AAC" w:rsidRDefault="007F3AAC" w:rsidP="00701569">
            <w:pPr>
              <w:jc w:val="right"/>
            </w:pPr>
            <w:r w:rsidRPr="007F3AAC">
              <w:t>378</w:t>
            </w:r>
          </w:p>
        </w:tc>
        <w:tc>
          <w:tcPr>
            <w:tcW w:w="1701" w:type="dxa"/>
          </w:tcPr>
          <w:p w14:paraId="11A02BFE" w14:textId="77777777" w:rsidR="00471A6E" w:rsidRPr="007F3AAC" w:rsidRDefault="00737519" w:rsidP="007F3AAC">
            <w:pPr>
              <w:ind w:right="-6"/>
              <w:jc w:val="right"/>
            </w:pPr>
            <w:r w:rsidRPr="007F3AAC">
              <w:t>(3</w:t>
            </w:r>
            <w:r w:rsidR="007F3AAC" w:rsidRPr="007F3AAC">
              <w:t>52</w:t>
            </w:r>
            <w:r w:rsidRPr="007F3AAC">
              <w:t>)</w:t>
            </w:r>
          </w:p>
        </w:tc>
        <w:tc>
          <w:tcPr>
            <w:tcW w:w="1470" w:type="dxa"/>
          </w:tcPr>
          <w:p w14:paraId="48C466A5" w14:textId="77777777" w:rsidR="00471A6E" w:rsidRPr="007F3AAC" w:rsidRDefault="007F3AAC" w:rsidP="00A54031">
            <w:pPr>
              <w:tabs>
                <w:tab w:val="left" w:pos="1254"/>
              </w:tabs>
              <w:jc w:val="right"/>
            </w:pPr>
            <w:r w:rsidRPr="007F3AAC">
              <w:t>(239)</w:t>
            </w:r>
          </w:p>
        </w:tc>
      </w:tr>
      <w:tr w:rsidR="00471A6E" w:rsidRPr="00894B8A" w14:paraId="4BB4A728" w14:textId="77777777" w:rsidTr="00C26E9D">
        <w:tc>
          <w:tcPr>
            <w:tcW w:w="3510" w:type="dxa"/>
          </w:tcPr>
          <w:p w14:paraId="487B57F0" w14:textId="77777777" w:rsidR="00471A6E" w:rsidRPr="007F3AAC" w:rsidRDefault="00471A6E" w:rsidP="00C26E9D">
            <w:pPr>
              <w:ind w:right="386"/>
              <w:rPr>
                <w:b/>
              </w:rPr>
            </w:pPr>
          </w:p>
        </w:tc>
        <w:tc>
          <w:tcPr>
            <w:tcW w:w="1560" w:type="dxa"/>
          </w:tcPr>
          <w:p w14:paraId="3EE973E5" w14:textId="77777777" w:rsidR="00471A6E" w:rsidRPr="007F3AAC" w:rsidRDefault="00471A6E" w:rsidP="00701569">
            <w:pPr>
              <w:tabs>
                <w:tab w:val="left" w:pos="1404"/>
              </w:tabs>
              <w:jc w:val="right"/>
              <w:rPr>
                <w:b/>
              </w:rPr>
            </w:pPr>
          </w:p>
        </w:tc>
        <w:tc>
          <w:tcPr>
            <w:tcW w:w="1944" w:type="dxa"/>
          </w:tcPr>
          <w:p w14:paraId="1D0FECA3" w14:textId="77777777" w:rsidR="00471A6E" w:rsidRPr="007F3AAC" w:rsidRDefault="00471A6E" w:rsidP="00701569">
            <w:pPr>
              <w:jc w:val="right"/>
              <w:rPr>
                <w:b/>
              </w:rPr>
            </w:pPr>
          </w:p>
        </w:tc>
        <w:tc>
          <w:tcPr>
            <w:tcW w:w="1701" w:type="dxa"/>
          </w:tcPr>
          <w:p w14:paraId="06F5F7E5" w14:textId="77777777" w:rsidR="00471A6E" w:rsidRPr="007F3AAC" w:rsidRDefault="00471A6E" w:rsidP="00701569">
            <w:pPr>
              <w:ind w:right="-6"/>
              <w:jc w:val="right"/>
              <w:rPr>
                <w:b/>
              </w:rPr>
            </w:pPr>
          </w:p>
        </w:tc>
        <w:tc>
          <w:tcPr>
            <w:tcW w:w="1470" w:type="dxa"/>
          </w:tcPr>
          <w:p w14:paraId="2533B507" w14:textId="77777777" w:rsidR="00471A6E" w:rsidRPr="007F3AAC" w:rsidRDefault="00471A6E" w:rsidP="00701569">
            <w:pPr>
              <w:tabs>
                <w:tab w:val="left" w:pos="1254"/>
              </w:tabs>
              <w:jc w:val="right"/>
              <w:rPr>
                <w:b/>
              </w:rPr>
            </w:pPr>
          </w:p>
        </w:tc>
      </w:tr>
      <w:tr w:rsidR="00471A6E" w:rsidRPr="00894B8A" w14:paraId="7BC1207F" w14:textId="77777777" w:rsidTr="00C26E9D">
        <w:tc>
          <w:tcPr>
            <w:tcW w:w="3510" w:type="dxa"/>
          </w:tcPr>
          <w:p w14:paraId="6C7D8CA9" w14:textId="77777777" w:rsidR="00471A6E" w:rsidRPr="007F3AAC" w:rsidRDefault="00471A6E" w:rsidP="00C26E9D">
            <w:pPr>
              <w:ind w:right="386"/>
              <w:rPr>
                <w:b/>
              </w:rPr>
            </w:pPr>
            <w:r w:rsidRPr="007F3AAC">
              <w:rPr>
                <w:b/>
              </w:rPr>
              <w:t>Net Budget Requirement</w:t>
            </w:r>
          </w:p>
        </w:tc>
        <w:tc>
          <w:tcPr>
            <w:tcW w:w="1560" w:type="dxa"/>
          </w:tcPr>
          <w:p w14:paraId="278A1526" w14:textId="77777777" w:rsidR="00471A6E" w:rsidRPr="007F3AAC" w:rsidRDefault="00737519" w:rsidP="007F3AAC">
            <w:pPr>
              <w:tabs>
                <w:tab w:val="left" w:pos="1404"/>
              </w:tabs>
              <w:jc w:val="right"/>
              <w:rPr>
                <w:b/>
              </w:rPr>
            </w:pPr>
            <w:r w:rsidRPr="007F3AAC">
              <w:rPr>
                <w:b/>
              </w:rPr>
              <w:t>23,</w:t>
            </w:r>
            <w:r w:rsidR="007F3AAC">
              <w:rPr>
                <w:b/>
              </w:rPr>
              <w:t>281</w:t>
            </w:r>
          </w:p>
        </w:tc>
        <w:tc>
          <w:tcPr>
            <w:tcW w:w="1944" w:type="dxa"/>
          </w:tcPr>
          <w:p w14:paraId="775A200D" w14:textId="77777777" w:rsidR="00471A6E" w:rsidRPr="007F3AAC" w:rsidRDefault="00737519" w:rsidP="007F3AAC">
            <w:pPr>
              <w:jc w:val="right"/>
              <w:rPr>
                <w:b/>
              </w:rPr>
            </w:pPr>
            <w:r w:rsidRPr="007F3AAC">
              <w:rPr>
                <w:b/>
              </w:rPr>
              <w:t>2</w:t>
            </w:r>
            <w:r w:rsidR="007F3AAC">
              <w:rPr>
                <w:b/>
              </w:rPr>
              <w:t>3</w:t>
            </w:r>
            <w:r w:rsidRPr="007F3AAC">
              <w:rPr>
                <w:b/>
              </w:rPr>
              <w:t>,</w:t>
            </w:r>
            <w:r w:rsidR="007F3AAC">
              <w:rPr>
                <w:b/>
              </w:rPr>
              <w:t>506</w:t>
            </w:r>
          </w:p>
        </w:tc>
        <w:tc>
          <w:tcPr>
            <w:tcW w:w="1701" w:type="dxa"/>
          </w:tcPr>
          <w:p w14:paraId="578C9D57" w14:textId="77777777" w:rsidR="00471A6E" w:rsidRPr="007F3AAC" w:rsidRDefault="00737519" w:rsidP="007F3AAC">
            <w:pPr>
              <w:ind w:right="-6"/>
              <w:jc w:val="right"/>
              <w:rPr>
                <w:b/>
              </w:rPr>
            </w:pPr>
            <w:r w:rsidRPr="007F3AAC">
              <w:rPr>
                <w:b/>
              </w:rPr>
              <w:t>23,7</w:t>
            </w:r>
            <w:r w:rsidR="007F3AAC">
              <w:rPr>
                <w:b/>
              </w:rPr>
              <w:t>26</w:t>
            </w:r>
          </w:p>
        </w:tc>
        <w:tc>
          <w:tcPr>
            <w:tcW w:w="1470" w:type="dxa"/>
          </w:tcPr>
          <w:p w14:paraId="487CEDF1" w14:textId="77777777" w:rsidR="00471A6E" w:rsidRPr="007F3AAC" w:rsidRDefault="00737519" w:rsidP="007F3AAC">
            <w:pPr>
              <w:tabs>
                <w:tab w:val="left" w:pos="1254"/>
              </w:tabs>
              <w:jc w:val="right"/>
              <w:rPr>
                <w:b/>
              </w:rPr>
            </w:pPr>
            <w:r w:rsidRPr="007F3AAC">
              <w:rPr>
                <w:b/>
              </w:rPr>
              <w:t>24,</w:t>
            </w:r>
            <w:r w:rsidR="007F3AAC">
              <w:rPr>
                <w:b/>
              </w:rPr>
              <w:t>119</w:t>
            </w:r>
          </w:p>
        </w:tc>
      </w:tr>
      <w:tr w:rsidR="00471A6E" w:rsidRPr="00894B8A" w14:paraId="38011ABD" w14:textId="77777777" w:rsidTr="005E4245">
        <w:tc>
          <w:tcPr>
            <w:tcW w:w="3510" w:type="dxa"/>
          </w:tcPr>
          <w:p w14:paraId="3B08A232" w14:textId="77777777" w:rsidR="00471A6E" w:rsidRPr="00894B8A" w:rsidRDefault="00471A6E" w:rsidP="00E444D2">
            <w:pPr>
              <w:ind w:right="386"/>
              <w:rPr>
                <w:b/>
                <w:highlight w:val="yellow"/>
              </w:rPr>
            </w:pPr>
          </w:p>
        </w:tc>
        <w:tc>
          <w:tcPr>
            <w:tcW w:w="1560" w:type="dxa"/>
          </w:tcPr>
          <w:p w14:paraId="55432DF5" w14:textId="77777777" w:rsidR="00471A6E" w:rsidRPr="00894B8A" w:rsidRDefault="00471A6E" w:rsidP="005E4245">
            <w:pPr>
              <w:tabs>
                <w:tab w:val="left" w:pos="1404"/>
              </w:tabs>
              <w:jc w:val="right"/>
              <w:rPr>
                <w:highlight w:val="yellow"/>
              </w:rPr>
            </w:pPr>
          </w:p>
        </w:tc>
        <w:tc>
          <w:tcPr>
            <w:tcW w:w="1944" w:type="dxa"/>
          </w:tcPr>
          <w:p w14:paraId="0D46E906" w14:textId="77777777" w:rsidR="00471A6E" w:rsidRPr="00894B8A" w:rsidRDefault="00471A6E" w:rsidP="005E4245">
            <w:pPr>
              <w:jc w:val="right"/>
              <w:rPr>
                <w:highlight w:val="yellow"/>
              </w:rPr>
            </w:pPr>
          </w:p>
        </w:tc>
        <w:tc>
          <w:tcPr>
            <w:tcW w:w="1701" w:type="dxa"/>
          </w:tcPr>
          <w:p w14:paraId="7466368F" w14:textId="77777777" w:rsidR="00471A6E" w:rsidRPr="00894B8A" w:rsidRDefault="00471A6E" w:rsidP="005E4245">
            <w:pPr>
              <w:ind w:right="-6"/>
              <w:jc w:val="right"/>
              <w:rPr>
                <w:highlight w:val="yellow"/>
              </w:rPr>
            </w:pPr>
          </w:p>
        </w:tc>
        <w:tc>
          <w:tcPr>
            <w:tcW w:w="1470" w:type="dxa"/>
          </w:tcPr>
          <w:p w14:paraId="104812AC" w14:textId="77777777" w:rsidR="00471A6E" w:rsidRPr="00894B8A" w:rsidRDefault="00471A6E" w:rsidP="005E4245">
            <w:pPr>
              <w:tabs>
                <w:tab w:val="left" w:pos="1254"/>
              </w:tabs>
              <w:jc w:val="right"/>
              <w:rPr>
                <w:highlight w:val="yellow"/>
              </w:rPr>
            </w:pPr>
          </w:p>
        </w:tc>
      </w:tr>
      <w:tr w:rsidR="00471A6E" w:rsidRPr="00894B8A" w14:paraId="36995A18" w14:textId="77777777" w:rsidTr="005E4245">
        <w:tc>
          <w:tcPr>
            <w:tcW w:w="3510" w:type="dxa"/>
          </w:tcPr>
          <w:p w14:paraId="1D6B9EBA" w14:textId="77777777" w:rsidR="00471A6E" w:rsidRPr="007936D9" w:rsidRDefault="00471A6E" w:rsidP="00E444D2">
            <w:pPr>
              <w:ind w:right="386"/>
              <w:rPr>
                <w:b/>
              </w:rPr>
            </w:pPr>
            <w:r w:rsidRPr="007936D9">
              <w:rPr>
                <w:b/>
              </w:rPr>
              <w:t>FUNDING</w:t>
            </w:r>
          </w:p>
        </w:tc>
        <w:tc>
          <w:tcPr>
            <w:tcW w:w="1560" w:type="dxa"/>
          </w:tcPr>
          <w:p w14:paraId="44B505C9" w14:textId="77777777" w:rsidR="00471A6E" w:rsidRPr="007936D9" w:rsidRDefault="00471A6E" w:rsidP="005E4245">
            <w:pPr>
              <w:tabs>
                <w:tab w:val="left" w:pos="1404"/>
              </w:tabs>
              <w:jc w:val="right"/>
            </w:pPr>
          </w:p>
        </w:tc>
        <w:tc>
          <w:tcPr>
            <w:tcW w:w="1944" w:type="dxa"/>
          </w:tcPr>
          <w:p w14:paraId="6FABBD0B" w14:textId="77777777" w:rsidR="00471A6E" w:rsidRPr="007936D9" w:rsidRDefault="00471A6E" w:rsidP="005E4245">
            <w:pPr>
              <w:jc w:val="right"/>
            </w:pPr>
          </w:p>
        </w:tc>
        <w:tc>
          <w:tcPr>
            <w:tcW w:w="1701" w:type="dxa"/>
          </w:tcPr>
          <w:p w14:paraId="2A8044B6" w14:textId="77777777" w:rsidR="00471A6E" w:rsidRPr="007936D9" w:rsidRDefault="00471A6E" w:rsidP="005E4245">
            <w:pPr>
              <w:ind w:right="-6"/>
              <w:jc w:val="right"/>
            </w:pPr>
          </w:p>
        </w:tc>
        <w:tc>
          <w:tcPr>
            <w:tcW w:w="1470" w:type="dxa"/>
          </w:tcPr>
          <w:p w14:paraId="15D8BB62" w14:textId="77777777" w:rsidR="00471A6E" w:rsidRPr="007936D9" w:rsidRDefault="00471A6E" w:rsidP="005E4245">
            <w:pPr>
              <w:tabs>
                <w:tab w:val="left" w:pos="1254"/>
              </w:tabs>
              <w:jc w:val="right"/>
            </w:pPr>
          </w:p>
        </w:tc>
      </w:tr>
      <w:tr w:rsidR="00471A6E" w:rsidRPr="00894B8A" w14:paraId="198C9CBA" w14:textId="77777777" w:rsidTr="005E4245">
        <w:tc>
          <w:tcPr>
            <w:tcW w:w="3510" w:type="dxa"/>
          </w:tcPr>
          <w:p w14:paraId="34222D1A" w14:textId="77777777" w:rsidR="00471A6E" w:rsidRPr="007936D9" w:rsidRDefault="00471A6E" w:rsidP="00E444D2">
            <w:pPr>
              <w:ind w:right="386"/>
            </w:pPr>
            <w:r w:rsidRPr="007936D9">
              <w:t xml:space="preserve">Council Tax </w:t>
            </w:r>
          </w:p>
        </w:tc>
        <w:tc>
          <w:tcPr>
            <w:tcW w:w="1560" w:type="dxa"/>
          </w:tcPr>
          <w:p w14:paraId="1E2904E1" w14:textId="77777777" w:rsidR="00471A6E" w:rsidRPr="007936D9" w:rsidRDefault="00737519" w:rsidP="00A54031">
            <w:pPr>
              <w:tabs>
                <w:tab w:val="left" w:pos="1404"/>
              </w:tabs>
              <w:jc w:val="right"/>
            </w:pPr>
            <w:r w:rsidRPr="007936D9">
              <w:t>13,207</w:t>
            </w:r>
          </w:p>
        </w:tc>
        <w:tc>
          <w:tcPr>
            <w:tcW w:w="1944" w:type="dxa"/>
          </w:tcPr>
          <w:p w14:paraId="26ACFBB0" w14:textId="77777777" w:rsidR="00471A6E" w:rsidRPr="007936D9" w:rsidRDefault="00737519" w:rsidP="007F3AAC">
            <w:pPr>
              <w:jc w:val="right"/>
            </w:pPr>
            <w:r w:rsidRPr="007936D9">
              <w:t>13,6</w:t>
            </w:r>
            <w:r w:rsidR="007F3AAC">
              <w:t>19</w:t>
            </w:r>
          </w:p>
        </w:tc>
        <w:tc>
          <w:tcPr>
            <w:tcW w:w="1701" w:type="dxa"/>
          </w:tcPr>
          <w:p w14:paraId="55406182" w14:textId="77777777" w:rsidR="00471A6E" w:rsidRPr="007936D9" w:rsidRDefault="00737519" w:rsidP="007F3AAC">
            <w:pPr>
              <w:ind w:right="-6"/>
              <w:jc w:val="right"/>
            </w:pPr>
            <w:r w:rsidRPr="007936D9">
              <w:t>14,0</w:t>
            </w:r>
            <w:r w:rsidR="007F3AAC">
              <w:t>29</w:t>
            </w:r>
          </w:p>
        </w:tc>
        <w:tc>
          <w:tcPr>
            <w:tcW w:w="1470" w:type="dxa"/>
          </w:tcPr>
          <w:p w14:paraId="21E99883" w14:textId="77777777" w:rsidR="00471A6E" w:rsidRPr="007936D9" w:rsidRDefault="00737519" w:rsidP="007F3AAC">
            <w:pPr>
              <w:tabs>
                <w:tab w:val="left" w:pos="1254"/>
              </w:tabs>
              <w:jc w:val="right"/>
            </w:pPr>
            <w:r w:rsidRPr="007936D9">
              <w:t>14,4</w:t>
            </w:r>
            <w:r w:rsidR="007F3AAC">
              <w:t>52</w:t>
            </w:r>
          </w:p>
        </w:tc>
      </w:tr>
      <w:tr w:rsidR="00471A6E" w:rsidRPr="00894B8A" w14:paraId="2EF07F30" w14:textId="77777777" w:rsidTr="005E4245">
        <w:tc>
          <w:tcPr>
            <w:tcW w:w="3510" w:type="dxa"/>
          </w:tcPr>
          <w:p w14:paraId="42655BD2" w14:textId="77777777" w:rsidR="00471A6E" w:rsidRPr="007936D9" w:rsidRDefault="00471A6E" w:rsidP="00E444D2">
            <w:pPr>
              <w:ind w:right="386"/>
            </w:pPr>
            <w:r w:rsidRPr="007936D9">
              <w:t>Revenue Support Grant</w:t>
            </w:r>
          </w:p>
        </w:tc>
        <w:tc>
          <w:tcPr>
            <w:tcW w:w="1560" w:type="dxa"/>
          </w:tcPr>
          <w:p w14:paraId="45804F5F" w14:textId="77777777" w:rsidR="00471A6E" w:rsidRPr="007936D9" w:rsidRDefault="00737519" w:rsidP="007936D9">
            <w:pPr>
              <w:tabs>
                <w:tab w:val="left" w:pos="1404"/>
              </w:tabs>
              <w:jc w:val="right"/>
            </w:pPr>
            <w:r w:rsidRPr="007936D9">
              <w:t>6</w:t>
            </w:r>
            <w:r w:rsidR="007936D9" w:rsidRPr="007936D9">
              <w:t>3</w:t>
            </w:r>
            <w:r w:rsidRPr="007936D9">
              <w:t>0</w:t>
            </w:r>
          </w:p>
        </w:tc>
        <w:tc>
          <w:tcPr>
            <w:tcW w:w="1944" w:type="dxa"/>
          </w:tcPr>
          <w:p w14:paraId="6671BF4F" w14:textId="77777777" w:rsidR="00471A6E" w:rsidRPr="007936D9" w:rsidRDefault="00737519" w:rsidP="005E4245">
            <w:pPr>
              <w:jc w:val="right"/>
            </w:pPr>
            <w:r w:rsidRPr="007936D9">
              <w:t>0</w:t>
            </w:r>
          </w:p>
        </w:tc>
        <w:tc>
          <w:tcPr>
            <w:tcW w:w="1701" w:type="dxa"/>
          </w:tcPr>
          <w:p w14:paraId="34C524B3" w14:textId="77777777" w:rsidR="00471A6E" w:rsidRPr="007936D9" w:rsidRDefault="00737519" w:rsidP="005E4245">
            <w:pPr>
              <w:ind w:right="-6"/>
              <w:jc w:val="right"/>
            </w:pPr>
            <w:r w:rsidRPr="007936D9">
              <w:t>0</w:t>
            </w:r>
          </w:p>
        </w:tc>
        <w:tc>
          <w:tcPr>
            <w:tcW w:w="1470" w:type="dxa"/>
          </w:tcPr>
          <w:p w14:paraId="0A1DA931" w14:textId="77777777" w:rsidR="00471A6E" w:rsidRPr="007936D9" w:rsidRDefault="00737519" w:rsidP="005E4245">
            <w:pPr>
              <w:tabs>
                <w:tab w:val="left" w:pos="1254"/>
              </w:tabs>
              <w:jc w:val="right"/>
            </w:pPr>
            <w:r w:rsidRPr="007936D9">
              <w:t>0</w:t>
            </w:r>
          </w:p>
        </w:tc>
      </w:tr>
      <w:tr w:rsidR="00471A6E" w:rsidRPr="00894B8A" w14:paraId="328C0DEB" w14:textId="77777777" w:rsidTr="005E4245">
        <w:tc>
          <w:tcPr>
            <w:tcW w:w="3510" w:type="dxa"/>
          </w:tcPr>
          <w:p w14:paraId="5B4C2BBA" w14:textId="77777777" w:rsidR="00471A6E" w:rsidRPr="007936D9" w:rsidRDefault="00471A6E" w:rsidP="00E444D2">
            <w:pPr>
              <w:ind w:right="386"/>
            </w:pPr>
            <w:r w:rsidRPr="007936D9">
              <w:t>Retained Business Rates</w:t>
            </w:r>
          </w:p>
        </w:tc>
        <w:tc>
          <w:tcPr>
            <w:tcW w:w="1560" w:type="dxa"/>
          </w:tcPr>
          <w:p w14:paraId="14366FDD" w14:textId="77777777" w:rsidR="00471A6E" w:rsidRPr="007936D9" w:rsidRDefault="00737519" w:rsidP="002E3E05">
            <w:pPr>
              <w:tabs>
                <w:tab w:val="left" w:pos="1404"/>
              </w:tabs>
              <w:jc w:val="right"/>
            </w:pPr>
            <w:r w:rsidRPr="007936D9">
              <w:t>8,170</w:t>
            </w:r>
          </w:p>
        </w:tc>
        <w:tc>
          <w:tcPr>
            <w:tcW w:w="1944" w:type="dxa"/>
          </w:tcPr>
          <w:p w14:paraId="076E3D57" w14:textId="77777777" w:rsidR="00471A6E" w:rsidRPr="007936D9" w:rsidRDefault="007936D9" w:rsidP="007F3AAC">
            <w:pPr>
              <w:jc w:val="right"/>
            </w:pPr>
            <w:r w:rsidRPr="007936D9">
              <w:t>8,18</w:t>
            </w:r>
            <w:r w:rsidR="007F3AAC">
              <w:t>8</w:t>
            </w:r>
          </w:p>
        </w:tc>
        <w:tc>
          <w:tcPr>
            <w:tcW w:w="1701" w:type="dxa"/>
          </w:tcPr>
          <w:p w14:paraId="2B33F418" w14:textId="77777777" w:rsidR="00471A6E" w:rsidRPr="007936D9" w:rsidRDefault="007936D9" w:rsidP="005E4245">
            <w:pPr>
              <w:ind w:right="-6"/>
              <w:jc w:val="right"/>
            </w:pPr>
            <w:r w:rsidRPr="007936D9">
              <w:t>8,193</w:t>
            </w:r>
          </w:p>
        </w:tc>
        <w:tc>
          <w:tcPr>
            <w:tcW w:w="1470" w:type="dxa"/>
          </w:tcPr>
          <w:p w14:paraId="03280D1F" w14:textId="77777777" w:rsidR="00471A6E" w:rsidRPr="007936D9" w:rsidRDefault="00737519" w:rsidP="0037294C">
            <w:pPr>
              <w:tabs>
                <w:tab w:val="left" w:pos="1254"/>
              </w:tabs>
              <w:jc w:val="right"/>
            </w:pPr>
            <w:r w:rsidRPr="007936D9">
              <w:t>8,607</w:t>
            </w:r>
          </w:p>
        </w:tc>
      </w:tr>
      <w:tr w:rsidR="00956521" w:rsidRPr="00894B8A" w14:paraId="2ADB5242" w14:textId="77777777" w:rsidTr="005E4245">
        <w:tc>
          <w:tcPr>
            <w:tcW w:w="3510" w:type="dxa"/>
          </w:tcPr>
          <w:p w14:paraId="41FEB7EE" w14:textId="77777777" w:rsidR="00956521" w:rsidRPr="007936D9" w:rsidRDefault="00956521" w:rsidP="00E444D2">
            <w:pPr>
              <w:ind w:right="386"/>
            </w:pPr>
            <w:r w:rsidRPr="007936D9">
              <w:t>New Homes Bonus</w:t>
            </w:r>
          </w:p>
        </w:tc>
        <w:tc>
          <w:tcPr>
            <w:tcW w:w="1560" w:type="dxa"/>
          </w:tcPr>
          <w:p w14:paraId="63E301D8" w14:textId="77777777" w:rsidR="00956521" w:rsidRPr="007936D9" w:rsidRDefault="00737519" w:rsidP="00737519">
            <w:pPr>
              <w:tabs>
                <w:tab w:val="left" w:pos="1404"/>
              </w:tabs>
              <w:jc w:val="right"/>
            </w:pPr>
            <w:r w:rsidRPr="007936D9">
              <w:t>1,274</w:t>
            </w:r>
          </w:p>
        </w:tc>
        <w:tc>
          <w:tcPr>
            <w:tcW w:w="1944" w:type="dxa"/>
          </w:tcPr>
          <w:p w14:paraId="16CABA40" w14:textId="77777777" w:rsidR="00956521" w:rsidRPr="007936D9" w:rsidRDefault="00737519" w:rsidP="00A54031">
            <w:pPr>
              <w:jc w:val="right"/>
            </w:pPr>
            <w:r w:rsidRPr="007936D9">
              <w:t>1,699</w:t>
            </w:r>
          </w:p>
        </w:tc>
        <w:tc>
          <w:tcPr>
            <w:tcW w:w="1701" w:type="dxa"/>
          </w:tcPr>
          <w:p w14:paraId="7A57E99C" w14:textId="77777777" w:rsidR="00956521" w:rsidRPr="007936D9" w:rsidRDefault="00737519" w:rsidP="00A54031">
            <w:pPr>
              <w:ind w:right="-6"/>
              <w:jc w:val="right"/>
            </w:pPr>
            <w:r w:rsidRPr="007936D9">
              <w:t>1,504</w:t>
            </w:r>
          </w:p>
        </w:tc>
        <w:tc>
          <w:tcPr>
            <w:tcW w:w="1470" w:type="dxa"/>
          </w:tcPr>
          <w:p w14:paraId="19AA0700" w14:textId="77777777" w:rsidR="00956521" w:rsidRPr="007936D9" w:rsidRDefault="00737519" w:rsidP="00A54031">
            <w:pPr>
              <w:tabs>
                <w:tab w:val="left" w:pos="1254"/>
              </w:tabs>
              <w:jc w:val="right"/>
            </w:pPr>
            <w:r w:rsidRPr="007936D9">
              <w:t>1,170</w:t>
            </w:r>
          </w:p>
        </w:tc>
      </w:tr>
      <w:tr w:rsidR="00471A6E" w:rsidRPr="00894B8A" w14:paraId="18C76AF0" w14:textId="77777777" w:rsidTr="005E4245">
        <w:tc>
          <w:tcPr>
            <w:tcW w:w="3510" w:type="dxa"/>
          </w:tcPr>
          <w:p w14:paraId="3AEF7DDA" w14:textId="77777777" w:rsidR="00471A6E" w:rsidRPr="007936D9" w:rsidRDefault="00471A6E" w:rsidP="00E444D2">
            <w:pPr>
              <w:ind w:right="386"/>
              <w:rPr>
                <w:b/>
              </w:rPr>
            </w:pPr>
            <w:r w:rsidRPr="007936D9">
              <w:rPr>
                <w:b/>
              </w:rPr>
              <w:t>Total</w:t>
            </w:r>
          </w:p>
        </w:tc>
        <w:tc>
          <w:tcPr>
            <w:tcW w:w="1560" w:type="dxa"/>
          </w:tcPr>
          <w:p w14:paraId="10BBDFCD" w14:textId="77777777" w:rsidR="00471A6E" w:rsidRPr="007936D9" w:rsidRDefault="00737519" w:rsidP="007936D9">
            <w:pPr>
              <w:tabs>
                <w:tab w:val="left" w:pos="1404"/>
              </w:tabs>
              <w:jc w:val="right"/>
              <w:rPr>
                <w:b/>
              </w:rPr>
            </w:pPr>
            <w:r w:rsidRPr="007936D9">
              <w:rPr>
                <w:b/>
              </w:rPr>
              <w:t>23,</w:t>
            </w:r>
            <w:r w:rsidR="007936D9" w:rsidRPr="007936D9">
              <w:rPr>
                <w:b/>
              </w:rPr>
              <w:t>28</w:t>
            </w:r>
            <w:r w:rsidRPr="007936D9">
              <w:rPr>
                <w:b/>
              </w:rPr>
              <w:t>1</w:t>
            </w:r>
          </w:p>
        </w:tc>
        <w:tc>
          <w:tcPr>
            <w:tcW w:w="1944" w:type="dxa"/>
          </w:tcPr>
          <w:p w14:paraId="12857984" w14:textId="77777777" w:rsidR="00471A6E" w:rsidRPr="007936D9" w:rsidRDefault="00737519" w:rsidP="007F3AAC">
            <w:pPr>
              <w:jc w:val="right"/>
              <w:rPr>
                <w:b/>
              </w:rPr>
            </w:pPr>
            <w:r w:rsidRPr="007936D9">
              <w:rPr>
                <w:b/>
              </w:rPr>
              <w:t>23,</w:t>
            </w:r>
            <w:r w:rsidR="007F3AAC">
              <w:rPr>
                <w:b/>
              </w:rPr>
              <w:t>506</w:t>
            </w:r>
          </w:p>
        </w:tc>
        <w:tc>
          <w:tcPr>
            <w:tcW w:w="1701" w:type="dxa"/>
          </w:tcPr>
          <w:p w14:paraId="25937FB7" w14:textId="77777777" w:rsidR="00471A6E" w:rsidRPr="007936D9" w:rsidRDefault="00737519" w:rsidP="007F3AAC">
            <w:pPr>
              <w:ind w:right="-6"/>
              <w:jc w:val="right"/>
              <w:rPr>
                <w:b/>
              </w:rPr>
            </w:pPr>
            <w:r w:rsidRPr="007936D9">
              <w:rPr>
                <w:b/>
              </w:rPr>
              <w:t>23,</w:t>
            </w:r>
            <w:r w:rsidR="007936D9" w:rsidRPr="007936D9">
              <w:rPr>
                <w:b/>
              </w:rPr>
              <w:t>7</w:t>
            </w:r>
            <w:r w:rsidR="007F3AAC">
              <w:rPr>
                <w:b/>
              </w:rPr>
              <w:t>26</w:t>
            </w:r>
          </w:p>
        </w:tc>
        <w:tc>
          <w:tcPr>
            <w:tcW w:w="1470" w:type="dxa"/>
          </w:tcPr>
          <w:p w14:paraId="26976341" w14:textId="77777777" w:rsidR="00471A6E" w:rsidRPr="007936D9" w:rsidRDefault="00737519" w:rsidP="007F3AAC">
            <w:pPr>
              <w:tabs>
                <w:tab w:val="left" w:pos="1254"/>
              </w:tabs>
              <w:jc w:val="right"/>
              <w:rPr>
                <w:b/>
              </w:rPr>
            </w:pPr>
            <w:r w:rsidRPr="007936D9">
              <w:rPr>
                <w:b/>
              </w:rPr>
              <w:t>24,2</w:t>
            </w:r>
            <w:r w:rsidR="007F3AAC">
              <w:rPr>
                <w:b/>
              </w:rPr>
              <w:t>19</w:t>
            </w:r>
          </w:p>
        </w:tc>
      </w:tr>
      <w:tr w:rsidR="00471A6E" w:rsidRPr="00894B8A" w14:paraId="25761C04" w14:textId="77777777" w:rsidTr="005E4245">
        <w:tc>
          <w:tcPr>
            <w:tcW w:w="3510" w:type="dxa"/>
          </w:tcPr>
          <w:p w14:paraId="355E471D" w14:textId="77777777" w:rsidR="00471A6E" w:rsidRPr="00894B8A" w:rsidRDefault="00471A6E" w:rsidP="00E444D2">
            <w:pPr>
              <w:ind w:right="386"/>
              <w:rPr>
                <w:b/>
                <w:highlight w:val="yellow"/>
              </w:rPr>
            </w:pPr>
          </w:p>
        </w:tc>
        <w:tc>
          <w:tcPr>
            <w:tcW w:w="1560" w:type="dxa"/>
          </w:tcPr>
          <w:p w14:paraId="7CDAF9C6" w14:textId="77777777" w:rsidR="00471A6E" w:rsidRPr="00894B8A" w:rsidRDefault="00471A6E" w:rsidP="005E4245">
            <w:pPr>
              <w:tabs>
                <w:tab w:val="left" w:pos="1404"/>
              </w:tabs>
              <w:jc w:val="right"/>
              <w:rPr>
                <w:b/>
                <w:highlight w:val="yellow"/>
              </w:rPr>
            </w:pPr>
          </w:p>
        </w:tc>
        <w:tc>
          <w:tcPr>
            <w:tcW w:w="1944" w:type="dxa"/>
          </w:tcPr>
          <w:p w14:paraId="77AD23C0" w14:textId="77777777" w:rsidR="00471A6E" w:rsidRPr="00894B8A" w:rsidRDefault="00471A6E" w:rsidP="005E4245">
            <w:pPr>
              <w:jc w:val="right"/>
              <w:rPr>
                <w:b/>
                <w:highlight w:val="yellow"/>
              </w:rPr>
            </w:pPr>
          </w:p>
        </w:tc>
        <w:tc>
          <w:tcPr>
            <w:tcW w:w="1701" w:type="dxa"/>
          </w:tcPr>
          <w:p w14:paraId="484182A6" w14:textId="77777777" w:rsidR="00471A6E" w:rsidRPr="00894B8A" w:rsidRDefault="00471A6E" w:rsidP="005E4245">
            <w:pPr>
              <w:ind w:right="-6"/>
              <w:jc w:val="right"/>
              <w:rPr>
                <w:b/>
                <w:highlight w:val="yellow"/>
              </w:rPr>
            </w:pPr>
          </w:p>
        </w:tc>
        <w:tc>
          <w:tcPr>
            <w:tcW w:w="1470" w:type="dxa"/>
          </w:tcPr>
          <w:p w14:paraId="143DE490" w14:textId="77777777" w:rsidR="00471A6E" w:rsidRPr="00894B8A" w:rsidRDefault="00471A6E" w:rsidP="005E4245">
            <w:pPr>
              <w:tabs>
                <w:tab w:val="left" w:pos="1254"/>
              </w:tabs>
              <w:jc w:val="right"/>
              <w:rPr>
                <w:b/>
                <w:highlight w:val="yellow"/>
              </w:rPr>
            </w:pPr>
          </w:p>
        </w:tc>
      </w:tr>
      <w:tr w:rsidR="00471A6E" w:rsidRPr="007F3AAC" w14:paraId="24201F70" w14:textId="77777777" w:rsidTr="005E4245">
        <w:tc>
          <w:tcPr>
            <w:tcW w:w="3510" w:type="dxa"/>
          </w:tcPr>
          <w:p w14:paraId="3F1D85AB" w14:textId="77777777" w:rsidR="00471A6E" w:rsidRPr="007F3AAC" w:rsidRDefault="00471A6E" w:rsidP="00E444D2">
            <w:pPr>
              <w:ind w:right="386"/>
              <w:rPr>
                <w:b/>
              </w:rPr>
            </w:pPr>
            <w:r w:rsidRPr="007F3AAC">
              <w:rPr>
                <w:b/>
              </w:rPr>
              <w:t>Surplus/ (Deficit)</w:t>
            </w:r>
          </w:p>
        </w:tc>
        <w:tc>
          <w:tcPr>
            <w:tcW w:w="1560" w:type="dxa"/>
          </w:tcPr>
          <w:p w14:paraId="6A9DBE25" w14:textId="77777777" w:rsidR="00471A6E" w:rsidRPr="007F3AAC" w:rsidRDefault="00471A6E" w:rsidP="005E4245">
            <w:pPr>
              <w:tabs>
                <w:tab w:val="left" w:pos="1404"/>
              </w:tabs>
              <w:jc w:val="right"/>
              <w:rPr>
                <w:b/>
              </w:rPr>
            </w:pPr>
            <w:r w:rsidRPr="007F3AAC">
              <w:rPr>
                <w:b/>
              </w:rPr>
              <w:t>0</w:t>
            </w:r>
          </w:p>
        </w:tc>
        <w:tc>
          <w:tcPr>
            <w:tcW w:w="1944" w:type="dxa"/>
          </w:tcPr>
          <w:p w14:paraId="40948727" w14:textId="77777777" w:rsidR="00471A6E" w:rsidRPr="007F3AAC" w:rsidRDefault="00471A6E" w:rsidP="005E4245">
            <w:pPr>
              <w:jc w:val="right"/>
              <w:rPr>
                <w:b/>
              </w:rPr>
            </w:pPr>
            <w:r w:rsidRPr="007F3AAC">
              <w:rPr>
                <w:b/>
              </w:rPr>
              <w:t>0</w:t>
            </w:r>
          </w:p>
        </w:tc>
        <w:tc>
          <w:tcPr>
            <w:tcW w:w="1701" w:type="dxa"/>
          </w:tcPr>
          <w:p w14:paraId="1D11CAB9" w14:textId="77777777" w:rsidR="00471A6E" w:rsidRPr="007F3AAC" w:rsidRDefault="00471A6E" w:rsidP="005E4245">
            <w:pPr>
              <w:ind w:right="-6"/>
              <w:jc w:val="right"/>
              <w:rPr>
                <w:b/>
              </w:rPr>
            </w:pPr>
            <w:r w:rsidRPr="007F3AAC">
              <w:rPr>
                <w:b/>
              </w:rPr>
              <w:t>0</w:t>
            </w:r>
          </w:p>
        </w:tc>
        <w:tc>
          <w:tcPr>
            <w:tcW w:w="1470" w:type="dxa"/>
          </w:tcPr>
          <w:p w14:paraId="4E9ACFBB" w14:textId="77777777" w:rsidR="00471A6E" w:rsidRPr="007F3AAC" w:rsidRDefault="00471A6E" w:rsidP="0037294C">
            <w:pPr>
              <w:tabs>
                <w:tab w:val="left" w:pos="1254"/>
              </w:tabs>
              <w:jc w:val="right"/>
              <w:rPr>
                <w:b/>
              </w:rPr>
            </w:pPr>
            <w:r w:rsidRPr="007F3AAC">
              <w:rPr>
                <w:b/>
              </w:rPr>
              <w:t>0</w:t>
            </w:r>
          </w:p>
        </w:tc>
      </w:tr>
    </w:tbl>
    <w:p w14:paraId="7F62D1BE" w14:textId="77777777" w:rsidR="009E7E43" w:rsidRPr="007F3AAC" w:rsidRDefault="00F71A57" w:rsidP="00BB4D48">
      <w:pPr>
        <w:ind w:left="720" w:right="386"/>
      </w:pPr>
      <w:r w:rsidRPr="007F3AAC">
        <w:tab/>
      </w:r>
      <w:r w:rsidRPr="007F3AAC">
        <w:tab/>
      </w:r>
      <w:r w:rsidRPr="007F3AAC">
        <w:tab/>
      </w:r>
      <w:r w:rsidRPr="007F3AAC">
        <w:tab/>
      </w:r>
      <w:r w:rsidRPr="007F3AAC">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42"/>
        <w:gridCol w:w="1984"/>
        <w:gridCol w:w="1694"/>
        <w:gridCol w:w="1440"/>
      </w:tblGrid>
      <w:tr w:rsidR="002A0774" w:rsidRPr="00894B8A" w14:paraId="69F7A863" w14:textId="77777777" w:rsidTr="005E4245">
        <w:tc>
          <w:tcPr>
            <w:tcW w:w="3528" w:type="dxa"/>
          </w:tcPr>
          <w:p w14:paraId="0D155FDC" w14:textId="77777777" w:rsidR="002A0774" w:rsidRPr="007F3AAC" w:rsidRDefault="007F3AAC" w:rsidP="007F3AAC">
            <w:pPr>
              <w:ind w:right="386"/>
              <w:rPr>
                <w:b/>
              </w:rPr>
            </w:pPr>
            <w:r w:rsidRPr="007F3AAC">
              <w:rPr>
                <w:b/>
              </w:rPr>
              <w:t xml:space="preserve">Year End </w:t>
            </w:r>
            <w:r w:rsidR="002A0774" w:rsidRPr="007F3AAC">
              <w:rPr>
                <w:b/>
              </w:rPr>
              <w:t>G</w:t>
            </w:r>
            <w:r w:rsidRPr="007F3AAC">
              <w:rPr>
                <w:b/>
              </w:rPr>
              <w:t>eneral</w:t>
            </w:r>
            <w:r w:rsidR="002A0774" w:rsidRPr="007F3AAC">
              <w:rPr>
                <w:b/>
              </w:rPr>
              <w:t xml:space="preserve"> F</w:t>
            </w:r>
            <w:r w:rsidRPr="007F3AAC">
              <w:rPr>
                <w:b/>
              </w:rPr>
              <w:t>und</w:t>
            </w:r>
            <w:r w:rsidR="002A0774" w:rsidRPr="007F3AAC">
              <w:rPr>
                <w:b/>
              </w:rPr>
              <w:t xml:space="preserve"> W</w:t>
            </w:r>
            <w:r w:rsidRPr="007F3AAC">
              <w:rPr>
                <w:b/>
              </w:rPr>
              <w:t xml:space="preserve">orking </w:t>
            </w:r>
            <w:r w:rsidR="002A0774" w:rsidRPr="007F3AAC">
              <w:rPr>
                <w:b/>
              </w:rPr>
              <w:t>B</w:t>
            </w:r>
            <w:r w:rsidRPr="007F3AAC">
              <w:rPr>
                <w:b/>
              </w:rPr>
              <w:t>alance</w:t>
            </w:r>
          </w:p>
        </w:tc>
        <w:tc>
          <w:tcPr>
            <w:tcW w:w="1542" w:type="dxa"/>
          </w:tcPr>
          <w:p w14:paraId="080B3BE3" w14:textId="77777777" w:rsidR="002A0774" w:rsidRPr="007F3AAC" w:rsidRDefault="007F3AAC" w:rsidP="00956521">
            <w:pPr>
              <w:jc w:val="right"/>
              <w:rPr>
                <w:b/>
              </w:rPr>
            </w:pPr>
            <w:r w:rsidRPr="007F3AAC">
              <w:rPr>
                <w:b/>
              </w:rPr>
              <w:t>3,915</w:t>
            </w:r>
          </w:p>
        </w:tc>
        <w:tc>
          <w:tcPr>
            <w:tcW w:w="1984" w:type="dxa"/>
          </w:tcPr>
          <w:p w14:paraId="32053973" w14:textId="77777777" w:rsidR="002A0774" w:rsidRPr="007F3AAC" w:rsidRDefault="007F3AAC" w:rsidP="00A54031">
            <w:pPr>
              <w:jc w:val="right"/>
              <w:rPr>
                <w:b/>
              </w:rPr>
            </w:pPr>
            <w:r w:rsidRPr="007F3AAC">
              <w:rPr>
                <w:b/>
              </w:rPr>
              <w:t>4,293</w:t>
            </w:r>
          </w:p>
        </w:tc>
        <w:tc>
          <w:tcPr>
            <w:tcW w:w="1694" w:type="dxa"/>
          </w:tcPr>
          <w:p w14:paraId="0D79BD48" w14:textId="77777777" w:rsidR="002A0774" w:rsidRPr="007F3AAC" w:rsidRDefault="00F254C7" w:rsidP="007F3AAC">
            <w:pPr>
              <w:jc w:val="right"/>
              <w:rPr>
                <w:b/>
              </w:rPr>
            </w:pPr>
            <w:r w:rsidRPr="007F3AAC">
              <w:rPr>
                <w:b/>
              </w:rPr>
              <w:t>3,</w:t>
            </w:r>
            <w:r w:rsidR="007F3AAC" w:rsidRPr="007F3AAC">
              <w:rPr>
                <w:b/>
              </w:rPr>
              <w:t>941</w:t>
            </w:r>
          </w:p>
        </w:tc>
        <w:tc>
          <w:tcPr>
            <w:tcW w:w="1440" w:type="dxa"/>
          </w:tcPr>
          <w:p w14:paraId="125F3818" w14:textId="77777777" w:rsidR="002A0774" w:rsidRPr="007F3AAC" w:rsidRDefault="00F254C7" w:rsidP="007F3AAC">
            <w:pPr>
              <w:jc w:val="right"/>
              <w:rPr>
                <w:b/>
              </w:rPr>
            </w:pPr>
            <w:r w:rsidRPr="007F3AAC">
              <w:rPr>
                <w:b/>
              </w:rPr>
              <w:t>3,70</w:t>
            </w:r>
            <w:r w:rsidR="007F3AAC" w:rsidRPr="007F3AAC">
              <w:rPr>
                <w:b/>
              </w:rPr>
              <w:t>1</w:t>
            </w:r>
          </w:p>
        </w:tc>
      </w:tr>
    </w:tbl>
    <w:p w14:paraId="5D03DC98" w14:textId="77777777" w:rsidR="009E7E43" w:rsidRPr="00894B8A" w:rsidRDefault="009E7E43" w:rsidP="00BB4D48">
      <w:pPr>
        <w:ind w:left="720" w:right="386"/>
        <w:rPr>
          <w:highlight w:val="yellow"/>
        </w:rPr>
      </w:pPr>
    </w:p>
    <w:p w14:paraId="78328C01" w14:textId="77777777" w:rsidR="009E67EF" w:rsidRPr="008D6AFC" w:rsidRDefault="009E67EF" w:rsidP="008D6AFC">
      <w:pPr>
        <w:spacing w:before="240" w:after="120"/>
        <w:outlineLvl w:val="0"/>
        <w:rPr>
          <w:b/>
          <w:color w:val="000000"/>
          <w:lang w:eastAsia="en-GB"/>
        </w:rPr>
      </w:pPr>
      <w:r w:rsidRPr="008D6AFC">
        <w:rPr>
          <w:b/>
          <w:color w:val="000000"/>
          <w:lang w:eastAsia="en-GB"/>
        </w:rPr>
        <w:t>Key</w:t>
      </w:r>
    </w:p>
    <w:p w14:paraId="46320BEE" w14:textId="77777777" w:rsidR="009E67EF" w:rsidRPr="00471A6E" w:rsidRDefault="009E67EF" w:rsidP="006C4C35">
      <w:pPr>
        <w:numPr>
          <w:ilvl w:val="0"/>
          <w:numId w:val="10"/>
        </w:numPr>
        <w:tabs>
          <w:tab w:val="left" w:pos="851"/>
        </w:tabs>
        <w:ind w:left="851" w:right="386" w:hanging="284"/>
      </w:pPr>
      <w:r w:rsidRPr="00471A6E">
        <w:rPr>
          <w:b/>
        </w:rPr>
        <w:t xml:space="preserve">MRP </w:t>
      </w:r>
      <w:r w:rsidRPr="00471A6E">
        <w:t xml:space="preserve">– </w:t>
      </w:r>
      <w:r w:rsidRPr="00471A6E">
        <w:rPr>
          <w:b/>
        </w:rPr>
        <w:t>Minimum Revenue Provision</w:t>
      </w:r>
      <w:r w:rsidRPr="00471A6E">
        <w:t xml:space="preserve"> – A charge made to revenue in respect the cost of borrowing to fund the </w:t>
      </w:r>
      <w:r w:rsidR="00662F6E" w:rsidRPr="00471A6E">
        <w:t>Capital Programme</w:t>
      </w:r>
      <w:r w:rsidRPr="00471A6E">
        <w:t>.</w:t>
      </w:r>
    </w:p>
    <w:p w14:paraId="09009630" w14:textId="77777777" w:rsidR="009E67EF" w:rsidRPr="00471A6E" w:rsidRDefault="009E67EF" w:rsidP="006C4C35">
      <w:pPr>
        <w:numPr>
          <w:ilvl w:val="0"/>
          <w:numId w:val="10"/>
        </w:numPr>
        <w:tabs>
          <w:tab w:val="left" w:pos="851"/>
        </w:tabs>
        <w:ind w:left="851" w:right="386" w:hanging="284"/>
      </w:pPr>
      <w:r w:rsidRPr="00471A6E">
        <w:rPr>
          <w:b/>
        </w:rPr>
        <w:t xml:space="preserve">NHB </w:t>
      </w:r>
      <w:r w:rsidRPr="00471A6E">
        <w:t xml:space="preserve">– </w:t>
      </w:r>
      <w:r w:rsidRPr="00471A6E">
        <w:rPr>
          <w:b/>
        </w:rPr>
        <w:t>New Homes Bonus</w:t>
      </w:r>
      <w:r w:rsidRPr="00471A6E">
        <w:t xml:space="preserve"> - This grant is given for a </w:t>
      </w:r>
      <w:r w:rsidR="00925B76" w:rsidRPr="00471A6E">
        <w:t>four</w:t>
      </w:r>
      <w:r w:rsidRPr="00471A6E">
        <w:t xml:space="preserve"> year period based on new dwelling completions in year</w:t>
      </w:r>
      <w:r w:rsidR="002A0774" w:rsidRPr="00471A6E">
        <w:t>.</w:t>
      </w:r>
    </w:p>
    <w:p w14:paraId="768E520D" w14:textId="77777777" w:rsidR="00847CF3" w:rsidRPr="00894B8A" w:rsidRDefault="00847CF3" w:rsidP="00A61EDC">
      <w:pPr>
        <w:ind w:left="1440" w:right="386"/>
        <w:rPr>
          <w:b/>
          <w:highlight w:val="yellow"/>
        </w:rPr>
      </w:pPr>
    </w:p>
    <w:p w14:paraId="4CEEB9C7" w14:textId="77777777" w:rsidR="00673090" w:rsidRPr="008D6AFC" w:rsidRDefault="00673090" w:rsidP="008D6AFC">
      <w:pPr>
        <w:spacing w:before="240" w:after="120"/>
        <w:outlineLvl w:val="0"/>
        <w:rPr>
          <w:b/>
          <w:color w:val="000000"/>
          <w:lang w:eastAsia="en-GB"/>
        </w:rPr>
      </w:pPr>
      <w:r w:rsidRPr="008D6AFC">
        <w:rPr>
          <w:b/>
          <w:color w:val="000000"/>
          <w:lang w:eastAsia="en-GB"/>
        </w:rPr>
        <w:t>Use of Working Balances</w:t>
      </w:r>
    </w:p>
    <w:p w14:paraId="7D59E746" w14:textId="77C1B27A" w:rsidR="00673090" w:rsidRPr="00260A92" w:rsidRDefault="00673090" w:rsidP="00390239">
      <w:pPr>
        <w:pStyle w:val="ListParagraph"/>
        <w:numPr>
          <w:ilvl w:val="0"/>
          <w:numId w:val="40"/>
        </w:numPr>
        <w:ind w:left="709" w:right="386" w:hanging="709"/>
      </w:pPr>
      <w:r w:rsidRPr="00EA5DBF">
        <w:t>The budget assumes transfers to and from the working balance which as at 1/4/201</w:t>
      </w:r>
      <w:r w:rsidR="00260A92" w:rsidRPr="00EA5DBF">
        <w:t>7</w:t>
      </w:r>
      <w:r w:rsidRPr="00EA5DBF">
        <w:t xml:space="preserve"> were £3.62</w:t>
      </w:r>
      <w:r w:rsidR="00260A92" w:rsidRPr="00EA5DBF">
        <w:t>2</w:t>
      </w:r>
      <w:r w:rsidRPr="00EA5DBF">
        <w:t xml:space="preserve"> million</w:t>
      </w:r>
      <w:r w:rsidR="002B1918" w:rsidRPr="00EA5DBF">
        <w:t>.</w:t>
      </w:r>
      <w:r w:rsidRPr="00EA5DBF">
        <w:t xml:space="preserve"> Over the four year period of the </w:t>
      </w:r>
      <w:r w:rsidR="00FB2B58">
        <w:t>MTFS</w:t>
      </w:r>
      <w:r w:rsidRPr="00EA5DBF">
        <w:t xml:space="preserve"> </w:t>
      </w:r>
      <w:r w:rsidR="00662F6E" w:rsidRPr="00EA5DBF">
        <w:t>assuming delivery as planned</w:t>
      </w:r>
      <w:r w:rsidR="00513394" w:rsidRPr="00EA5DBF">
        <w:t xml:space="preserve">, </w:t>
      </w:r>
      <w:r w:rsidR="00711203" w:rsidRPr="00EA5DBF">
        <w:t>the balances</w:t>
      </w:r>
      <w:r w:rsidR="00EB4F49">
        <w:t xml:space="preserve"> increase slightly to </w:t>
      </w:r>
      <w:r w:rsidR="00526463">
        <w:t>£3.701 million</w:t>
      </w:r>
      <w:r w:rsidRPr="00EA5DBF">
        <w:t>.</w:t>
      </w:r>
    </w:p>
    <w:p w14:paraId="7D0A5C6A" w14:textId="77777777" w:rsidR="00673090" w:rsidRPr="00260A92" w:rsidRDefault="00673090" w:rsidP="00673090">
      <w:pPr>
        <w:ind w:left="567" w:right="386" w:hanging="567"/>
      </w:pPr>
    </w:p>
    <w:p w14:paraId="1188559B" w14:textId="77777777" w:rsidR="00601571" w:rsidRPr="008D6AFC" w:rsidRDefault="00601571" w:rsidP="008D6AFC">
      <w:pPr>
        <w:spacing w:before="240" w:after="120"/>
        <w:outlineLvl w:val="0"/>
        <w:rPr>
          <w:b/>
          <w:color w:val="000000"/>
          <w:lang w:eastAsia="en-GB"/>
        </w:rPr>
      </w:pPr>
      <w:r w:rsidRPr="008D6AFC">
        <w:rPr>
          <w:b/>
          <w:color w:val="000000"/>
          <w:lang w:eastAsia="en-GB"/>
        </w:rPr>
        <w:t>Risk Implications</w:t>
      </w:r>
    </w:p>
    <w:p w14:paraId="3648E1F8" w14:textId="77777777" w:rsidR="00227B6B" w:rsidRPr="00260A92" w:rsidRDefault="00390239" w:rsidP="00942056">
      <w:pPr>
        <w:ind w:left="567" w:right="386" w:hanging="567"/>
        <w:rPr>
          <w:sz w:val="22"/>
          <w:szCs w:val="22"/>
        </w:rPr>
      </w:pPr>
      <w:r>
        <w:t>61</w:t>
      </w:r>
      <w:r w:rsidR="001F439F" w:rsidRPr="00260A92">
        <w:tab/>
      </w:r>
      <w:r w:rsidR="00227B6B" w:rsidRPr="00260A92">
        <w:t xml:space="preserve">The main risks to the </w:t>
      </w:r>
      <w:r w:rsidR="00494F15" w:rsidRPr="00260A92">
        <w:t xml:space="preserve">balanced position </w:t>
      </w:r>
      <w:r w:rsidR="005F7D66" w:rsidRPr="00260A92">
        <w:t>of</w:t>
      </w:r>
      <w:r w:rsidR="00494F15" w:rsidRPr="00260A92">
        <w:t xml:space="preserve"> the </w:t>
      </w:r>
      <w:r w:rsidR="00227B6B" w:rsidRPr="00260A92">
        <w:t>General Fund consultation budget</w:t>
      </w:r>
      <w:r w:rsidR="00494F15" w:rsidRPr="00260A92">
        <w:t xml:space="preserve"> </w:t>
      </w:r>
      <w:r w:rsidR="00FA2FF9" w:rsidRPr="00260A92">
        <w:t xml:space="preserve">(Appendix </w:t>
      </w:r>
      <w:r w:rsidR="008C3B46" w:rsidRPr="00260A92">
        <w:t>8</w:t>
      </w:r>
      <w:r w:rsidR="00FA2FF9" w:rsidRPr="00260A92">
        <w:t>)</w:t>
      </w:r>
      <w:r w:rsidR="00EC42E6" w:rsidRPr="00260A92">
        <w:t xml:space="preserve"> </w:t>
      </w:r>
      <w:r w:rsidR="00494F15" w:rsidRPr="00260A92">
        <w:t>are</w:t>
      </w:r>
      <w:r w:rsidR="0052514C" w:rsidRPr="00260A92">
        <w:t xml:space="preserve"> that</w:t>
      </w:r>
      <w:r w:rsidR="00494F15" w:rsidRPr="00260A92">
        <w:t>:</w:t>
      </w:r>
    </w:p>
    <w:p w14:paraId="2511A596" w14:textId="77777777" w:rsidR="002F134D" w:rsidRDefault="002F134D" w:rsidP="00CE3A3C">
      <w:pPr>
        <w:numPr>
          <w:ilvl w:val="0"/>
          <w:numId w:val="1"/>
        </w:numPr>
        <w:tabs>
          <w:tab w:val="clear" w:pos="1080"/>
          <w:tab w:val="num" w:pos="851"/>
        </w:tabs>
        <w:ind w:left="851" w:right="386" w:hanging="284"/>
        <w:rPr>
          <w:szCs w:val="22"/>
        </w:rPr>
      </w:pPr>
      <w:r w:rsidRPr="00260A92">
        <w:rPr>
          <w:szCs w:val="22"/>
        </w:rPr>
        <w:t>Variations of actual income and expenditure against budget especially in volatile areas such as income</w:t>
      </w:r>
    </w:p>
    <w:p w14:paraId="310A31B4" w14:textId="77777777" w:rsidR="00956521" w:rsidRDefault="00956521" w:rsidP="00CE3A3C">
      <w:pPr>
        <w:numPr>
          <w:ilvl w:val="0"/>
          <w:numId w:val="1"/>
        </w:numPr>
        <w:tabs>
          <w:tab w:val="clear" w:pos="1080"/>
          <w:tab w:val="num" w:pos="851"/>
        </w:tabs>
        <w:ind w:left="851" w:right="386" w:hanging="284"/>
        <w:rPr>
          <w:szCs w:val="22"/>
        </w:rPr>
      </w:pPr>
      <w:r>
        <w:rPr>
          <w:szCs w:val="22"/>
        </w:rPr>
        <w:t>Pay negotiations are more than budgeted from April 2021 onwards</w:t>
      </w:r>
    </w:p>
    <w:p w14:paraId="6F21816E" w14:textId="77777777" w:rsidR="00956521" w:rsidRPr="00260A92" w:rsidRDefault="00956521" w:rsidP="00CE3A3C">
      <w:pPr>
        <w:numPr>
          <w:ilvl w:val="0"/>
          <w:numId w:val="1"/>
        </w:numPr>
        <w:tabs>
          <w:tab w:val="clear" w:pos="1080"/>
          <w:tab w:val="num" w:pos="851"/>
        </w:tabs>
        <w:ind w:left="851" w:right="386" w:hanging="284"/>
        <w:rPr>
          <w:szCs w:val="22"/>
        </w:rPr>
      </w:pPr>
      <w:r>
        <w:rPr>
          <w:szCs w:val="22"/>
        </w:rPr>
        <w:t xml:space="preserve">Trading company does not perform </w:t>
      </w:r>
      <w:r w:rsidR="000F0CBC">
        <w:rPr>
          <w:szCs w:val="22"/>
        </w:rPr>
        <w:t>in accordance with its business plan</w:t>
      </w:r>
      <w:r>
        <w:rPr>
          <w:szCs w:val="22"/>
        </w:rPr>
        <w:t xml:space="preserve"> leading to reduced income to Council</w:t>
      </w:r>
    </w:p>
    <w:p w14:paraId="736F5E41" w14:textId="77777777" w:rsidR="0063583C" w:rsidRPr="00260A92" w:rsidRDefault="00E462AA" w:rsidP="00CE3A3C">
      <w:pPr>
        <w:numPr>
          <w:ilvl w:val="0"/>
          <w:numId w:val="1"/>
        </w:numPr>
        <w:tabs>
          <w:tab w:val="clear" w:pos="1080"/>
          <w:tab w:val="num" w:pos="851"/>
        </w:tabs>
        <w:ind w:left="851" w:right="386" w:hanging="284"/>
        <w:rPr>
          <w:szCs w:val="22"/>
        </w:rPr>
      </w:pPr>
      <w:r w:rsidRPr="00260A92">
        <w:rPr>
          <w:szCs w:val="22"/>
        </w:rPr>
        <w:t>Business Rate</w:t>
      </w:r>
      <w:r w:rsidR="0018345C" w:rsidRPr="00260A92">
        <w:rPr>
          <w:szCs w:val="22"/>
        </w:rPr>
        <w:t xml:space="preserve">s income </w:t>
      </w:r>
      <w:r w:rsidRPr="00260A92">
        <w:rPr>
          <w:szCs w:val="22"/>
        </w:rPr>
        <w:t xml:space="preserve"> </w:t>
      </w:r>
      <w:r w:rsidR="0018345C" w:rsidRPr="00260A92">
        <w:rPr>
          <w:szCs w:val="22"/>
        </w:rPr>
        <w:t xml:space="preserve">is </w:t>
      </w:r>
      <w:r w:rsidR="00AB7A34" w:rsidRPr="00260A92">
        <w:rPr>
          <w:szCs w:val="22"/>
        </w:rPr>
        <w:t>lower than</w:t>
      </w:r>
      <w:r w:rsidR="0018345C" w:rsidRPr="00260A92">
        <w:rPr>
          <w:szCs w:val="22"/>
        </w:rPr>
        <w:t xml:space="preserve"> forecast</w:t>
      </w:r>
      <w:r w:rsidR="00256B2D">
        <w:rPr>
          <w:szCs w:val="22"/>
        </w:rPr>
        <w:t xml:space="preserve"> arising from the fairer funding review</w:t>
      </w:r>
    </w:p>
    <w:p w14:paraId="127FE937" w14:textId="77777777" w:rsidR="0063583C" w:rsidRPr="00260A92" w:rsidRDefault="0063583C" w:rsidP="00CE3A3C">
      <w:pPr>
        <w:numPr>
          <w:ilvl w:val="0"/>
          <w:numId w:val="1"/>
        </w:numPr>
        <w:tabs>
          <w:tab w:val="clear" w:pos="1080"/>
          <w:tab w:val="num" w:pos="851"/>
        </w:tabs>
        <w:ind w:left="851" w:right="386" w:hanging="284"/>
        <w:rPr>
          <w:szCs w:val="22"/>
        </w:rPr>
      </w:pPr>
      <w:r w:rsidRPr="00260A92">
        <w:rPr>
          <w:szCs w:val="22"/>
        </w:rPr>
        <w:t>Welfare Reform</w:t>
      </w:r>
      <w:r w:rsidR="00956521">
        <w:rPr>
          <w:szCs w:val="22"/>
        </w:rPr>
        <w:t>s</w:t>
      </w:r>
      <w:r w:rsidRPr="00260A92">
        <w:rPr>
          <w:szCs w:val="22"/>
        </w:rPr>
        <w:t xml:space="preserve"> </w:t>
      </w:r>
      <w:r w:rsidR="00B61356" w:rsidRPr="00260A92">
        <w:rPr>
          <w:szCs w:val="22"/>
        </w:rPr>
        <w:t>impacts</w:t>
      </w:r>
      <w:r w:rsidR="0018345C" w:rsidRPr="00260A92">
        <w:rPr>
          <w:szCs w:val="22"/>
        </w:rPr>
        <w:t xml:space="preserve"> the autho</w:t>
      </w:r>
      <w:r w:rsidR="009363D0" w:rsidRPr="00260A92">
        <w:rPr>
          <w:szCs w:val="22"/>
        </w:rPr>
        <w:t xml:space="preserve">rity more adversely than </w:t>
      </w:r>
      <w:r w:rsidR="00B61356" w:rsidRPr="00260A92">
        <w:rPr>
          <w:szCs w:val="22"/>
        </w:rPr>
        <w:t>assumed</w:t>
      </w:r>
    </w:p>
    <w:p w14:paraId="5022915C" w14:textId="77777777" w:rsidR="00494F15" w:rsidRPr="00260A92" w:rsidRDefault="002B1918" w:rsidP="00CE3A3C">
      <w:pPr>
        <w:numPr>
          <w:ilvl w:val="0"/>
          <w:numId w:val="1"/>
        </w:numPr>
        <w:tabs>
          <w:tab w:val="clear" w:pos="1080"/>
          <w:tab w:val="num" w:pos="851"/>
        </w:tabs>
        <w:ind w:left="851" w:right="386" w:hanging="284"/>
        <w:rPr>
          <w:szCs w:val="22"/>
        </w:rPr>
      </w:pPr>
      <w:r w:rsidRPr="00260A92">
        <w:rPr>
          <w:szCs w:val="22"/>
        </w:rPr>
        <w:t>Outcome of</w:t>
      </w:r>
      <w:r w:rsidR="0052514C" w:rsidRPr="00260A92">
        <w:rPr>
          <w:szCs w:val="22"/>
        </w:rPr>
        <w:t xml:space="preserve"> </w:t>
      </w:r>
      <w:r w:rsidR="00D66434" w:rsidRPr="00260A92">
        <w:rPr>
          <w:szCs w:val="22"/>
        </w:rPr>
        <w:t>New Homes Bonus</w:t>
      </w:r>
      <w:r w:rsidR="00B61356" w:rsidRPr="00260A92">
        <w:rPr>
          <w:szCs w:val="22"/>
        </w:rPr>
        <w:t xml:space="preserve"> </w:t>
      </w:r>
      <w:r w:rsidRPr="00260A92">
        <w:rPr>
          <w:szCs w:val="22"/>
        </w:rPr>
        <w:t xml:space="preserve">consultation </w:t>
      </w:r>
      <w:r w:rsidR="00AB7A34" w:rsidRPr="00260A92">
        <w:rPr>
          <w:szCs w:val="22"/>
        </w:rPr>
        <w:t>is</w:t>
      </w:r>
      <w:r w:rsidR="00B61356" w:rsidRPr="00260A92">
        <w:rPr>
          <w:szCs w:val="22"/>
        </w:rPr>
        <w:t xml:space="preserve"> </w:t>
      </w:r>
      <w:r w:rsidRPr="00260A92">
        <w:rPr>
          <w:szCs w:val="22"/>
        </w:rPr>
        <w:t>not as favourable as assumed</w:t>
      </w:r>
    </w:p>
    <w:p w14:paraId="592F60F8" w14:textId="77777777" w:rsidR="004876F5" w:rsidRPr="00956521" w:rsidRDefault="00494F15" w:rsidP="00CE3A3C">
      <w:pPr>
        <w:numPr>
          <w:ilvl w:val="0"/>
          <w:numId w:val="1"/>
        </w:numPr>
        <w:tabs>
          <w:tab w:val="num" w:pos="851"/>
        </w:tabs>
        <w:ind w:left="851" w:right="386" w:hanging="284"/>
        <w:rPr>
          <w:sz w:val="22"/>
          <w:szCs w:val="22"/>
        </w:rPr>
      </w:pPr>
      <w:r w:rsidRPr="00260A92">
        <w:rPr>
          <w:szCs w:val="22"/>
        </w:rPr>
        <w:t>Interest rates</w:t>
      </w:r>
      <w:r w:rsidR="00C9304F" w:rsidRPr="00260A92">
        <w:rPr>
          <w:szCs w:val="22"/>
        </w:rPr>
        <w:t xml:space="preserve"> </w:t>
      </w:r>
      <w:r w:rsidR="004876F5" w:rsidRPr="00260A92">
        <w:rPr>
          <w:szCs w:val="22"/>
        </w:rPr>
        <w:t>lower than projected</w:t>
      </w:r>
      <w:r w:rsidR="00256B2D">
        <w:rPr>
          <w:szCs w:val="22"/>
        </w:rPr>
        <w:t xml:space="preserve"> arising from Brexit</w:t>
      </w:r>
    </w:p>
    <w:p w14:paraId="09A7EF2D" w14:textId="77777777" w:rsidR="00956521" w:rsidRPr="00956521" w:rsidRDefault="00956521" w:rsidP="00CE3A3C">
      <w:pPr>
        <w:numPr>
          <w:ilvl w:val="0"/>
          <w:numId w:val="1"/>
        </w:numPr>
        <w:tabs>
          <w:tab w:val="num" w:pos="851"/>
        </w:tabs>
        <w:ind w:left="851" w:right="386" w:hanging="284"/>
        <w:rPr>
          <w:sz w:val="22"/>
          <w:szCs w:val="22"/>
        </w:rPr>
      </w:pPr>
      <w:r>
        <w:rPr>
          <w:szCs w:val="22"/>
        </w:rPr>
        <w:t>Company investments do not materialise</w:t>
      </w:r>
      <w:r w:rsidRPr="00956521">
        <w:rPr>
          <w:szCs w:val="22"/>
        </w:rPr>
        <w:t xml:space="preserve"> </w:t>
      </w:r>
    </w:p>
    <w:p w14:paraId="0A8F461A" w14:textId="5CE8F4EB" w:rsidR="001C5E3F" w:rsidRPr="00124F61" w:rsidRDefault="00956521" w:rsidP="00CE3A3C">
      <w:pPr>
        <w:numPr>
          <w:ilvl w:val="0"/>
          <w:numId w:val="1"/>
        </w:numPr>
        <w:tabs>
          <w:tab w:val="num" w:pos="851"/>
        </w:tabs>
        <w:ind w:left="851" w:right="386" w:hanging="284"/>
        <w:rPr>
          <w:sz w:val="22"/>
          <w:szCs w:val="22"/>
        </w:rPr>
      </w:pPr>
      <w:r>
        <w:rPr>
          <w:szCs w:val="22"/>
        </w:rPr>
        <w:t>S</w:t>
      </w:r>
      <w:r w:rsidR="001C5E3F" w:rsidRPr="00956521">
        <w:rPr>
          <w:szCs w:val="22"/>
        </w:rPr>
        <w:t xml:space="preserve">lippage in the capital programme adversely effects revenue savings and additional income in the </w:t>
      </w:r>
      <w:r w:rsidR="00FB2B58">
        <w:rPr>
          <w:szCs w:val="22"/>
        </w:rPr>
        <w:t>MTFS</w:t>
      </w:r>
    </w:p>
    <w:p w14:paraId="35810220" w14:textId="77777777" w:rsidR="00124F61" w:rsidRPr="00956521" w:rsidRDefault="00124F61" w:rsidP="00124F61">
      <w:pPr>
        <w:ind w:left="851" w:right="386"/>
        <w:rPr>
          <w:sz w:val="22"/>
          <w:szCs w:val="22"/>
        </w:rPr>
      </w:pPr>
    </w:p>
    <w:p w14:paraId="313B65AF" w14:textId="77777777" w:rsidR="00CE3A3C" w:rsidRPr="00163FA2" w:rsidRDefault="00CE3A3C" w:rsidP="00CE3A3C">
      <w:pPr>
        <w:ind w:left="851" w:right="386"/>
        <w:rPr>
          <w:sz w:val="22"/>
          <w:szCs w:val="22"/>
        </w:rPr>
      </w:pPr>
    </w:p>
    <w:p w14:paraId="4EB8BF2B" w14:textId="77777777" w:rsidR="00CB1092" w:rsidRPr="00163FA2" w:rsidRDefault="00CB1092" w:rsidP="00CB1092">
      <w:pPr>
        <w:autoSpaceDE w:val="0"/>
        <w:autoSpaceDN w:val="0"/>
        <w:adjustRightInd w:val="0"/>
        <w:ind w:right="380"/>
        <w:jc w:val="both"/>
        <w:rPr>
          <w:rFonts w:cs="Arial"/>
          <w:b/>
          <w:sz w:val="28"/>
          <w:szCs w:val="28"/>
        </w:rPr>
      </w:pPr>
      <w:r w:rsidRPr="00163FA2">
        <w:rPr>
          <w:rFonts w:cs="Arial"/>
          <w:b/>
          <w:sz w:val="28"/>
          <w:szCs w:val="28"/>
        </w:rPr>
        <w:t>Section C Housing Revenue Account Budget</w:t>
      </w:r>
    </w:p>
    <w:p w14:paraId="208AB13C" w14:textId="77777777" w:rsidR="00CB1092" w:rsidRPr="005A1BBF" w:rsidRDefault="00CB1092" w:rsidP="00CB1092">
      <w:pPr>
        <w:autoSpaceDE w:val="0"/>
        <w:autoSpaceDN w:val="0"/>
        <w:adjustRightInd w:val="0"/>
        <w:ind w:right="380"/>
        <w:rPr>
          <w:rFonts w:cs="Arial"/>
        </w:rPr>
      </w:pPr>
    </w:p>
    <w:p w14:paraId="03BE11C2" w14:textId="77777777" w:rsidR="00CB1092" w:rsidRPr="008D6AFC" w:rsidRDefault="00CB1092" w:rsidP="008D6AFC">
      <w:pPr>
        <w:spacing w:before="240" w:after="120"/>
        <w:outlineLvl w:val="0"/>
        <w:rPr>
          <w:b/>
          <w:color w:val="000000"/>
          <w:lang w:eastAsia="en-GB"/>
        </w:rPr>
      </w:pPr>
      <w:r w:rsidRPr="008D6AFC">
        <w:rPr>
          <w:b/>
          <w:color w:val="000000"/>
          <w:lang w:eastAsia="en-GB"/>
        </w:rPr>
        <w:t>Background</w:t>
      </w:r>
    </w:p>
    <w:p w14:paraId="2DBBF37A" w14:textId="77777777" w:rsidR="006F57A6" w:rsidRPr="00101064" w:rsidRDefault="00390239" w:rsidP="00881AFC">
      <w:pPr>
        <w:pStyle w:val="Heading1"/>
        <w:ind w:left="567" w:hanging="567"/>
        <w:rPr>
          <w:rFonts w:cs="Arial"/>
          <w:lang w:eastAsia="en-GB"/>
        </w:rPr>
      </w:pPr>
      <w:r w:rsidRPr="00881AFC">
        <w:rPr>
          <w:rFonts w:cs="Arial"/>
          <w:b w:val="0"/>
        </w:rPr>
        <w:t>62</w:t>
      </w:r>
      <w:r w:rsidR="0010427B" w:rsidRPr="005A1BBF">
        <w:rPr>
          <w:rFonts w:cs="Arial"/>
        </w:rPr>
        <w:tab/>
      </w:r>
      <w:r w:rsidR="00C53442" w:rsidRPr="00881AFC">
        <w:rPr>
          <w:b w:val="0"/>
        </w:rPr>
        <w:t>In Oc</w:t>
      </w:r>
      <w:r w:rsidR="005A1BBF" w:rsidRPr="00881AFC">
        <w:rPr>
          <w:b w:val="0"/>
        </w:rPr>
        <w:t>t</w:t>
      </w:r>
      <w:r w:rsidR="00C53442" w:rsidRPr="00881AFC">
        <w:rPr>
          <w:b w:val="0"/>
        </w:rPr>
        <w:t xml:space="preserve">ober </w:t>
      </w:r>
      <w:r w:rsidR="00746194" w:rsidRPr="00881AFC">
        <w:rPr>
          <w:b w:val="0"/>
        </w:rPr>
        <w:t xml:space="preserve">2017 </w:t>
      </w:r>
      <w:r w:rsidR="00C53442" w:rsidRPr="00881AFC">
        <w:rPr>
          <w:b w:val="0"/>
        </w:rPr>
        <w:t xml:space="preserve">the Government confirmed plans </w:t>
      </w:r>
      <w:r w:rsidR="006F57A6" w:rsidRPr="00881AFC">
        <w:rPr>
          <w:b w:val="0"/>
        </w:rPr>
        <w:t>for a new generation of council and housing association homes. Funding for affordable homes will be increased by a further £2 billion to more than £9 billion.</w:t>
      </w:r>
      <w:r w:rsidR="006079BC" w:rsidRPr="00881AFC">
        <w:rPr>
          <w:b w:val="0"/>
        </w:rPr>
        <w:t xml:space="preserve"> </w:t>
      </w:r>
      <w:r w:rsidR="00101064" w:rsidRPr="00881AFC">
        <w:rPr>
          <w:b w:val="0"/>
        </w:rPr>
        <w:t xml:space="preserve">Under this Government Programme the Council has recently submitted an application for £60 million of Government grant funding together with £75million of spend by the Council to be funded through </w:t>
      </w:r>
      <w:proofErr w:type="gramStart"/>
      <w:r w:rsidR="00101064" w:rsidRPr="00881AFC">
        <w:rPr>
          <w:b w:val="0"/>
        </w:rPr>
        <w:t>Prudential</w:t>
      </w:r>
      <w:proofErr w:type="gramEnd"/>
      <w:r w:rsidR="00101064" w:rsidRPr="00881AFC">
        <w:rPr>
          <w:b w:val="0"/>
        </w:rPr>
        <w:t xml:space="preserve"> borrowing. This additional borrowing would be funded from the removal of the debt cap by the Government and the resultant total spend would result in the building of around 625 new social rented homes</w:t>
      </w:r>
      <w:r w:rsidR="003369AE">
        <w:rPr>
          <w:b w:val="0"/>
        </w:rPr>
        <w:t>.</w:t>
      </w:r>
    </w:p>
    <w:p w14:paraId="1E786B69" w14:textId="7008CC49" w:rsidR="006F57A6" w:rsidRPr="006F57A6" w:rsidRDefault="00390239" w:rsidP="00101064">
      <w:pPr>
        <w:spacing w:before="100" w:beforeAutospacing="1" w:after="100" w:afterAutospacing="1"/>
        <w:ind w:left="567" w:hanging="567"/>
        <w:rPr>
          <w:rFonts w:cs="Arial"/>
          <w:lang w:val="en" w:eastAsia="en-GB"/>
        </w:rPr>
      </w:pPr>
      <w:r>
        <w:rPr>
          <w:rFonts w:cs="Arial"/>
          <w:lang w:val="en" w:eastAsia="en-GB"/>
        </w:rPr>
        <w:t>63</w:t>
      </w:r>
      <w:r w:rsidR="006D6BBB">
        <w:rPr>
          <w:rFonts w:cs="Arial"/>
          <w:lang w:val="en" w:eastAsia="en-GB"/>
        </w:rPr>
        <w:tab/>
      </w:r>
      <w:r w:rsidR="006F57A6" w:rsidRPr="006F57A6">
        <w:rPr>
          <w:rFonts w:cs="Arial"/>
          <w:lang w:val="en" w:eastAsia="en-GB"/>
        </w:rPr>
        <w:t>The number of homes will be determined on type and location of housing, and bids received for funding. With a typical £80,000 subsidy, this £2 billion investment can supply around 25,000 more homes at rents affordable for local people.</w:t>
      </w:r>
    </w:p>
    <w:p w14:paraId="0CBD57B1" w14:textId="77777777" w:rsidR="006F57A6" w:rsidRPr="006F57A6" w:rsidRDefault="00390239" w:rsidP="006D6BBB">
      <w:pPr>
        <w:spacing w:before="100" w:beforeAutospacing="1" w:after="100" w:afterAutospacing="1"/>
        <w:ind w:left="567" w:hanging="567"/>
        <w:rPr>
          <w:rFonts w:cs="Arial"/>
          <w:lang w:val="en" w:eastAsia="en-GB"/>
        </w:rPr>
      </w:pPr>
      <w:r>
        <w:rPr>
          <w:rFonts w:cs="Arial"/>
          <w:lang w:val="en" w:eastAsia="en-GB"/>
        </w:rPr>
        <w:t>64</w:t>
      </w:r>
      <w:r w:rsidR="006D6BBB">
        <w:rPr>
          <w:rFonts w:cs="Arial"/>
          <w:lang w:val="en" w:eastAsia="en-GB"/>
        </w:rPr>
        <w:tab/>
      </w:r>
      <w:r w:rsidR="006F57A6" w:rsidRPr="006F57A6">
        <w:rPr>
          <w:rFonts w:cs="Arial"/>
          <w:lang w:val="en" w:eastAsia="en-GB"/>
        </w:rPr>
        <w:t>Ministers also confirmed plans to create a stable financial environment by setting a long term rent deal for councils and housing associations in England from 2020</w:t>
      </w:r>
      <w:r w:rsidR="006F57A6" w:rsidRPr="005A1BBF">
        <w:rPr>
          <w:rFonts w:cs="Arial"/>
          <w:lang w:val="en" w:eastAsia="en-GB"/>
        </w:rPr>
        <w:t xml:space="preserve"> and u</w:t>
      </w:r>
      <w:r w:rsidR="006F57A6" w:rsidRPr="006F57A6">
        <w:rPr>
          <w:rFonts w:cs="Arial"/>
          <w:lang w:val="en" w:eastAsia="en-GB"/>
        </w:rPr>
        <w:t xml:space="preserve">nder the proposal increases to social housing rents will be limited to </w:t>
      </w:r>
      <w:r w:rsidR="00277B67">
        <w:rPr>
          <w:rFonts w:cs="Arial"/>
          <w:lang w:val="en" w:eastAsia="en-GB"/>
        </w:rPr>
        <w:t xml:space="preserve">a guideline of </w:t>
      </w:r>
      <w:r w:rsidR="006F57A6" w:rsidRPr="006F57A6">
        <w:rPr>
          <w:rFonts w:cs="Arial"/>
          <w:lang w:val="en" w:eastAsia="en-GB"/>
        </w:rPr>
        <w:t xml:space="preserve">Consumer Price Index (CPI) plus 1% for 5 years from 2020. </w:t>
      </w:r>
    </w:p>
    <w:p w14:paraId="56D9CBC9" w14:textId="77777777" w:rsidR="00277E4B" w:rsidRPr="005A1BBF" w:rsidRDefault="00390239" w:rsidP="00640321">
      <w:pPr>
        <w:autoSpaceDE w:val="0"/>
        <w:autoSpaceDN w:val="0"/>
        <w:adjustRightInd w:val="0"/>
        <w:ind w:left="567" w:right="380" w:hanging="567"/>
        <w:jc w:val="both"/>
        <w:rPr>
          <w:rFonts w:cs="Arial"/>
        </w:rPr>
      </w:pPr>
      <w:r>
        <w:rPr>
          <w:rFonts w:cs="Arial"/>
        </w:rPr>
        <w:t>65</w:t>
      </w:r>
      <w:r w:rsidR="006D6BBB">
        <w:rPr>
          <w:rFonts w:cs="Arial"/>
        </w:rPr>
        <w:tab/>
      </w:r>
      <w:r w:rsidR="005A1BBF" w:rsidRPr="005A1BBF">
        <w:rPr>
          <w:rFonts w:cs="Arial"/>
        </w:rPr>
        <w:t xml:space="preserve">There </w:t>
      </w:r>
      <w:r w:rsidR="00D5761B">
        <w:rPr>
          <w:rFonts w:cs="Arial"/>
        </w:rPr>
        <w:t>was</w:t>
      </w:r>
      <w:r w:rsidR="005A1BBF" w:rsidRPr="005A1BBF">
        <w:rPr>
          <w:rFonts w:cs="Arial"/>
        </w:rPr>
        <w:t xml:space="preserve"> no announcement </w:t>
      </w:r>
      <w:r w:rsidR="00EE6A4D">
        <w:rPr>
          <w:rFonts w:cs="Arial"/>
        </w:rPr>
        <w:t>in the Chancellor</w:t>
      </w:r>
      <w:r w:rsidR="00D5761B">
        <w:rPr>
          <w:rFonts w:cs="Arial"/>
        </w:rPr>
        <w:t>’s</w:t>
      </w:r>
      <w:r w:rsidR="00EE6A4D">
        <w:rPr>
          <w:rFonts w:cs="Arial"/>
        </w:rPr>
        <w:t xml:space="preserve"> Budget speech </w:t>
      </w:r>
      <w:r w:rsidR="006F69BF">
        <w:rPr>
          <w:rFonts w:cs="Arial"/>
        </w:rPr>
        <w:t xml:space="preserve">about </w:t>
      </w:r>
      <w:r w:rsidR="005A1BBF" w:rsidRPr="005A1BBF">
        <w:rPr>
          <w:rFonts w:cs="Arial"/>
        </w:rPr>
        <w:t xml:space="preserve">the </w:t>
      </w:r>
      <w:r w:rsidR="006F69BF">
        <w:rPr>
          <w:rFonts w:cs="Arial"/>
        </w:rPr>
        <w:t xml:space="preserve">removal of the </w:t>
      </w:r>
      <w:r w:rsidR="005A1BBF" w:rsidRPr="005A1BBF">
        <w:rPr>
          <w:rFonts w:cs="Arial"/>
        </w:rPr>
        <w:t xml:space="preserve">High Value Levy first announced in 2016 and </w:t>
      </w:r>
      <w:r w:rsidR="00717ADE" w:rsidRPr="005A1BBF">
        <w:rPr>
          <w:rFonts w:cs="Arial"/>
        </w:rPr>
        <w:t>deferred</w:t>
      </w:r>
      <w:r w:rsidR="005A1BBF" w:rsidRPr="005A1BBF">
        <w:rPr>
          <w:rFonts w:cs="Arial"/>
        </w:rPr>
        <w:t xml:space="preserve"> from </w:t>
      </w:r>
      <w:r w:rsidR="00717ADE" w:rsidRPr="005A1BBF">
        <w:rPr>
          <w:rFonts w:cs="Arial"/>
        </w:rPr>
        <w:t>implementation</w:t>
      </w:r>
      <w:r w:rsidR="005A1BBF" w:rsidRPr="005A1BBF">
        <w:rPr>
          <w:rFonts w:cs="Arial"/>
        </w:rPr>
        <w:t xml:space="preserve"> in 2017-18. </w:t>
      </w:r>
      <w:r w:rsidR="006F69BF">
        <w:rPr>
          <w:rFonts w:cs="Arial"/>
        </w:rPr>
        <w:t xml:space="preserve">However, the pilot to extend right to buy to </w:t>
      </w:r>
      <w:r w:rsidR="005F2FC4">
        <w:rPr>
          <w:rFonts w:cs="Arial"/>
        </w:rPr>
        <w:t>Registered</w:t>
      </w:r>
      <w:r w:rsidR="006F69BF">
        <w:rPr>
          <w:rFonts w:cs="Arial"/>
        </w:rPr>
        <w:t xml:space="preserve"> Social Landlords </w:t>
      </w:r>
      <w:r w:rsidR="005F2FC4">
        <w:rPr>
          <w:rFonts w:cs="Arial"/>
        </w:rPr>
        <w:t>is progressing.</w:t>
      </w:r>
    </w:p>
    <w:p w14:paraId="7C6BB77B" w14:textId="77777777" w:rsidR="002B1241" w:rsidRDefault="002B1241" w:rsidP="002B1241">
      <w:pPr>
        <w:pStyle w:val="Default"/>
      </w:pPr>
    </w:p>
    <w:p w14:paraId="4B6AE53D" w14:textId="77777777" w:rsidR="002B1241" w:rsidRPr="002B1241" w:rsidRDefault="00390239" w:rsidP="006D6BBB">
      <w:pPr>
        <w:pStyle w:val="Default"/>
        <w:ind w:left="567" w:hanging="567"/>
      </w:pPr>
      <w:r>
        <w:t>66</w:t>
      </w:r>
      <w:r w:rsidR="006D6BBB">
        <w:tab/>
      </w:r>
      <w:r w:rsidR="002B1241" w:rsidRPr="002B1241">
        <w:t>I</w:t>
      </w:r>
      <w:r w:rsidR="005F2FC4">
        <w:rPr>
          <w:lang w:val="en-GB"/>
        </w:rPr>
        <w:t xml:space="preserve">t </w:t>
      </w:r>
      <w:r w:rsidR="004D4405">
        <w:rPr>
          <w:lang w:val="en-GB"/>
        </w:rPr>
        <w:t xml:space="preserve">has been </w:t>
      </w:r>
      <w:r w:rsidR="002B1241" w:rsidRPr="002B1241">
        <w:t xml:space="preserve">announced that </w:t>
      </w:r>
      <w:r w:rsidR="004D4405">
        <w:rPr>
          <w:lang w:val="en-GB"/>
        </w:rPr>
        <w:t xml:space="preserve">authorities in high value areas </w:t>
      </w:r>
      <w:r w:rsidR="00A5049E">
        <w:rPr>
          <w:lang w:val="en-GB"/>
        </w:rPr>
        <w:t xml:space="preserve">can apply to have their </w:t>
      </w:r>
      <w:r w:rsidR="002B1241" w:rsidRPr="002B1241">
        <w:t xml:space="preserve">Housing Revenue Account borrowing caps </w:t>
      </w:r>
      <w:r w:rsidR="00A5049E">
        <w:rPr>
          <w:lang w:val="en-GB"/>
        </w:rPr>
        <w:t xml:space="preserve">lifted from 2019 </w:t>
      </w:r>
      <w:r w:rsidR="002B1241" w:rsidRPr="002B1241">
        <w:t xml:space="preserve">so they can build more council homes. </w:t>
      </w:r>
      <w:r w:rsidR="007A61C9">
        <w:rPr>
          <w:lang w:val="en-GB"/>
        </w:rPr>
        <w:t xml:space="preserve">A </w:t>
      </w:r>
      <w:r w:rsidR="002B1241" w:rsidRPr="002B1241">
        <w:t xml:space="preserve">total of £1bn </w:t>
      </w:r>
      <w:r w:rsidR="007A61C9">
        <w:rPr>
          <w:lang w:val="en-GB"/>
        </w:rPr>
        <w:t>is available up t</w:t>
      </w:r>
      <w:r w:rsidR="00746194">
        <w:rPr>
          <w:lang w:val="en-GB"/>
        </w:rPr>
        <w:t>o</w:t>
      </w:r>
      <w:r w:rsidR="002B1241" w:rsidRPr="002B1241">
        <w:t xml:space="preserve"> the end of 2021/22. The </w:t>
      </w:r>
      <w:r w:rsidR="00746194">
        <w:rPr>
          <w:lang w:val="en-GB"/>
        </w:rPr>
        <w:t>Government</w:t>
      </w:r>
      <w:r w:rsidR="002B1241" w:rsidRPr="002B1241">
        <w:t xml:space="preserve"> will monitor how authorities respond to this opportunity, and consider whether any further action is needed </w:t>
      </w:r>
    </w:p>
    <w:p w14:paraId="35C501C1" w14:textId="77777777" w:rsidR="00277E4B" w:rsidRPr="00894B8A" w:rsidRDefault="00277E4B" w:rsidP="006D6F73">
      <w:pPr>
        <w:rPr>
          <w:rFonts w:eastAsia="Calibri" w:cs="Arial"/>
          <w:highlight w:val="yellow"/>
        </w:rPr>
      </w:pPr>
    </w:p>
    <w:p w14:paraId="14EFBD5A" w14:textId="1E461A95" w:rsidR="00CB1092" w:rsidRPr="008D6AFC" w:rsidRDefault="00640321" w:rsidP="008D6AFC">
      <w:pPr>
        <w:spacing w:before="240" w:after="120"/>
        <w:outlineLvl w:val="0"/>
        <w:rPr>
          <w:b/>
          <w:color w:val="000000"/>
          <w:lang w:eastAsia="en-GB"/>
        </w:rPr>
      </w:pPr>
      <w:r w:rsidRPr="008D6AFC">
        <w:rPr>
          <w:b/>
          <w:color w:val="000000"/>
          <w:lang w:eastAsia="en-GB"/>
        </w:rPr>
        <w:t xml:space="preserve">  </w:t>
      </w:r>
      <w:r w:rsidR="00CB1092" w:rsidRPr="008D6AFC">
        <w:rPr>
          <w:b/>
          <w:color w:val="000000"/>
          <w:lang w:eastAsia="en-GB"/>
        </w:rPr>
        <w:t>Key assumptions made in preparing the HRA budget</w:t>
      </w:r>
      <w:r w:rsidR="00CA168A" w:rsidRPr="008D6AFC">
        <w:rPr>
          <w:b/>
          <w:color w:val="000000"/>
          <w:lang w:eastAsia="en-GB"/>
        </w:rPr>
        <w:t xml:space="preserve"> for 201</w:t>
      </w:r>
      <w:r w:rsidR="005C674D" w:rsidRPr="008D6AFC">
        <w:rPr>
          <w:b/>
          <w:color w:val="000000"/>
          <w:lang w:eastAsia="en-GB"/>
        </w:rPr>
        <w:t>7</w:t>
      </w:r>
      <w:r w:rsidR="00CA168A" w:rsidRPr="008D6AFC">
        <w:rPr>
          <w:b/>
          <w:color w:val="000000"/>
          <w:lang w:eastAsia="en-GB"/>
        </w:rPr>
        <w:t>/1</w:t>
      </w:r>
      <w:r w:rsidR="005C674D" w:rsidRPr="008D6AFC">
        <w:rPr>
          <w:b/>
          <w:color w:val="000000"/>
          <w:lang w:eastAsia="en-GB"/>
        </w:rPr>
        <w:t>8</w:t>
      </w:r>
      <w:r w:rsidR="00CA168A" w:rsidRPr="008D6AFC">
        <w:rPr>
          <w:b/>
          <w:color w:val="000000"/>
          <w:lang w:eastAsia="en-GB"/>
        </w:rPr>
        <w:t xml:space="preserve"> – 20</w:t>
      </w:r>
      <w:r w:rsidR="00884460" w:rsidRPr="008D6AFC">
        <w:rPr>
          <w:b/>
          <w:color w:val="000000"/>
          <w:lang w:eastAsia="en-GB"/>
        </w:rPr>
        <w:t>20</w:t>
      </w:r>
      <w:r w:rsidR="005C674D" w:rsidRPr="008D6AFC">
        <w:rPr>
          <w:b/>
          <w:color w:val="000000"/>
          <w:lang w:eastAsia="en-GB"/>
        </w:rPr>
        <w:t>/21</w:t>
      </w:r>
      <w:r w:rsidR="00CB1092" w:rsidRPr="008D6AFC">
        <w:rPr>
          <w:b/>
          <w:color w:val="000000"/>
          <w:lang w:eastAsia="en-GB"/>
        </w:rPr>
        <w:t xml:space="preserve">  </w:t>
      </w:r>
    </w:p>
    <w:p w14:paraId="4C3FD354" w14:textId="77777777" w:rsidR="00296B63" w:rsidRPr="00296B63" w:rsidRDefault="00CB383F" w:rsidP="006C4C35">
      <w:pPr>
        <w:numPr>
          <w:ilvl w:val="0"/>
          <w:numId w:val="14"/>
        </w:numPr>
        <w:rPr>
          <w:rFonts w:cs="Arial"/>
        </w:rPr>
      </w:pPr>
      <w:r w:rsidRPr="00B76318">
        <w:rPr>
          <w:rFonts w:eastAsia="Calibri" w:cs="Arial"/>
          <w:b/>
        </w:rPr>
        <w:t xml:space="preserve">Rent setting </w:t>
      </w:r>
      <w:r w:rsidR="009B0C19" w:rsidRPr="00B76318">
        <w:rPr>
          <w:rFonts w:eastAsia="Calibri" w:cs="Arial"/>
          <w:b/>
        </w:rPr>
        <w:t>–</w:t>
      </w:r>
      <w:r w:rsidRPr="00B76318">
        <w:rPr>
          <w:rFonts w:eastAsia="Calibri" w:cs="Arial"/>
          <w:b/>
        </w:rPr>
        <w:t xml:space="preserve"> </w:t>
      </w:r>
      <w:r w:rsidR="00595BE5" w:rsidRPr="00595BE5">
        <w:rPr>
          <w:rFonts w:cs="Arial"/>
          <w:color w:val="000000"/>
        </w:rPr>
        <w:t xml:space="preserve">In 2002 the Government introduced a rent convergence policy under which, over a 10-year period, rents in social housing (local authority and housing association owned stock) were to be brought into alignment. A rent formula was established with actual rents moving towards a national formula rent which took account of values of properties and local earnings relative to national earnings. As part of the 2013 Spending </w:t>
      </w:r>
      <w:r w:rsidR="00361242">
        <w:rPr>
          <w:rFonts w:cs="Arial"/>
          <w:color w:val="000000"/>
        </w:rPr>
        <w:t xml:space="preserve">Review </w:t>
      </w:r>
      <w:r w:rsidR="00595BE5" w:rsidRPr="00595BE5">
        <w:rPr>
          <w:rFonts w:cs="Arial"/>
          <w:color w:val="000000"/>
        </w:rPr>
        <w:t>the Coalition Government announced that “from 2015-16 social rents will rise by CPI plus 1 per cent each year for 10 years</w:t>
      </w:r>
      <w:r w:rsidR="00595BE5">
        <w:rPr>
          <w:rFonts w:ascii="Verdana" w:hAnsi="Verdana"/>
          <w:color w:val="000000"/>
          <w:sz w:val="19"/>
          <w:szCs w:val="19"/>
        </w:rPr>
        <w:t xml:space="preserve"> .</w:t>
      </w:r>
      <w:r w:rsidR="005C674D" w:rsidRPr="00595BE5">
        <w:rPr>
          <w:rFonts w:eastAsia="Calibri" w:cs="Arial"/>
        </w:rPr>
        <w:t>T</w:t>
      </w:r>
      <w:r w:rsidR="005C674D" w:rsidRPr="00B76318">
        <w:rPr>
          <w:rFonts w:eastAsia="Calibri" w:cs="Arial"/>
        </w:rPr>
        <w:t>he Welfare Reform and Work Bill introduced a policy with effect from April 2016 that social housing rents must be reduced by 1% per year for 4 years f</w:t>
      </w:r>
      <w:r w:rsidR="00EA5DBF">
        <w:rPr>
          <w:rFonts w:eastAsia="Calibri" w:cs="Arial"/>
        </w:rPr>
        <w:t>rom their 8 July 2015 position which runs until 1/4/2020.</w:t>
      </w:r>
    </w:p>
    <w:p w14:paraId="479B08BE" w14:textId="77777777" w:rsidR="00CB383F" w:rsidRPr="00B756DF" w:rsidRDefault="00D05C01" w:rsidP="006C4C35">
      <w:pPr>
        <w:numPr>
          <w:ilvl w:val="0"/>
          <w:numId w:val="14"/>
        </w:numPr>
        <w:rPr>
          <w:rFonts w:cs="Arial"/>
        </w:rPr>
      </w:pPr>
      <w:r w:rsidRPr="00B76318">
        <w:rPr>
          <w:rFonts w:eastAsia="Calibri" w:cs="Arial"/>
        </w:rPr>
        <w:t xml:space="preserve">Recent Government announcements have indicated that from 1/4/2020 the guideline rent increase </w:t>
      </w:r>
      <w:r w:rsidR="000C487F">
        <w:rPr>
          <w:rFonts w:eastAsia="Calibri" w:cs="Arial"/>
        </w:rPr>
        <w:t xml:space="preserve">will revert to </w:t>
      </w:r>
      <w:r w:rsidRPr="00B76318">
        <w:rPr>
          <w:rFonts w:eastAsia="Calibri" w:cs="Arial"/>
        </w:rPr>
        <w:t xml:space="preserve">CPI +1% for a period of 5 years. </w:t>
      </w:r>
      <w:r w:rsidR="00B756DF">
        <w:rPr>
          <w:rFonts w:eastAsia="Calibri" w:cs="Arial"/>
        </w:rPr>
        <w:t>Whilst w</w:t>
      </w:r>
      <w:r w:rsidR="00B756DF" w:rsidRPr="00B756DF">
        <w:rPr>
          <w:rFonts w:cs="Arial"/>
        </w:rPr>
        <w:t xml:space="preserve">e do not yet know </w:t>
      </w:r>
      <w:r w:rsidR="00B756DF">
        <w:rPr>
          <w:rFonts w:cs="Arial"/>
        </w:rPr>
        <w:t xml:space="preserve">whether this is </w:t>
      </w:r>
      <w:r w:rsidR="00B756DF" w:rsidRPr="00B756DF">
        <w:rPr>
          <w:rFonts w:cs="Arial"/>
        </w:rPr>
        <w:t xml:space="preserve">either a guideline or mandatory cap </w:t>
      </w:r>
      <w:r w:rsidR="00B756DF">
        <w:rPr>
          <w:rFonts w:cs="Arial"/>
        </w:rPr>
        <w:t>g</w:t>
      </w:r>
      <w:r w:rsidR="00B756DF" w:rsidRPr="00B756DF">
        <w:rPr>
          <w:rFonts w:cs="Arial"/>
        </w:rPr>
        <w:t>iven that it was previously a guideline and given the recent Governments encouragement of LAs building again it is reasonable to assume that it will again be a guideline</w:t>
      </w:r>
      <w:r w:rsidR="00B756DF">
        <w:rPr>
          <w:rFonts w:cs="Arial"/>
        </w:rPr>
        <w:t>. Assuming this</w:t>
      </w:r>
      <w:r w:rsidR="00EA5DBF">
        <w:rPr>
          <w:rFonts w:cs="Arial"/>
        </w:rPr>
        <w:t>,</w:t>
      </w:r>
      <w:r w:rsidR="00B756DF">
        <w:rPr>
          <w:rFonts w:cs="Arial"/>
        </w:rPr>
        <w:t xml:space="preserve"> t</w:t>
      </w:r>
      <w:r w:rsidR="00AD4C32" w:rsidRPr="00B76318">
        <w:rPr>
          <w:rFonts w:eastAsia="Calibri" w:cs="Arial"/>
        </w:rPr>
        <w:t>he impact on rents for 201</w:t>
      </w:r>
      <w:r w:rsidRPr="00B76318">
        <w:rPr>
          <w:rFonts w:eastAsia="Calibri" w:cs="Arial"/>
        </w:rPr>
        <w:t>8</w:t>
      </w:r>
      <w:r w:rsidR="00AD4C32" w:rsidRPr="00B76318">
        <w:rPr>
          <w:rFonts w:eastAsia="Calibri" w:cs="Arial"/>
        </w:rPr>
        <w:t>/1</w:t>
      </w:r>
      <w:r w:rsidRPr="00B76318">
        <w:rPr>
          <w:rFonts w:eastAsia="Calibri" w:cs="Arial"/>
        </w:rPr>
        <w:t>9</w:t>
      </w:r>
      <w:r w:rsidR="00AD4C32" w:rsidRPr="00B76318">
        <w:rPr>
          <w:rFonts w:eastAsia="Calibri" w:cs="Arial"/>
        </w:rPr>
        <w:t xml:space="preserve"> </w:t>
      </w:r>
      <w:r w:rsidR="00884460" w:rsidRPr="00B76318">
        <w:rPr>
          <w:rFonts w:eastAsia="Calibri" w:cs="Arial"/>
        </w:rPr>
        <w:t xml:space="preserve">is shown in </w:t>
      </w:r>
      <w:proofErr w:type="gramStart"/>
      <w:r w:rsidR="00884460" w:rsidRPr="00B76318">
        <w:rPr>
          <w:rFonts w:eastAsia="Calibri" w:cs="Arial"/>
        </w:rPr>
        <w:t xml:space="preserve">Appendix  </w:t>
      </w:r>
      <w:r w:rsidR="007E18CF" w:rsidRPr="00B76318">
        <w:rPr>
          <w:rFonts w:eastAsia="Calibri" w:cs="Arial"/>
        </w:rPr>
        <w:t>5</w:t>
      </w:r>
      <w:proofErr w:type="gramEnd"/>
      <w:r w:rsidR="00884460" w:rsidRPr="00B76318">
        <w:rPr>
          <w:rFonts w:eastAsia="Calibri" w:cs="Arial"/>
        </w:rPr>
        <w:t xml:space="preserve"> with a summary over the next </w:t>
      </w:r>
      <w:r w:rsidR="00AD4C32" w:rsidRPr="00B76318">
        <w:rPr>
          <w:rFonts w:eastAsia="Calibri" w:cs="Arial"/>
        </w:rPr>
        <w:t>4</w:t>
      </w:r>
      <w:r w:rsidR="00884460" w:rsidRPr="00B76318">
        <w:rPr>
          <w:rFonts w:eastAsia="Calibri" w:cs="Arial"/>
        </w:rPr>
        <w:t xml:space="preserve"> years shown below</w:t>
      </w:r>
      <w:r w:rsidR="00595BE5">
        <w:rPr>
          <w:rFonts w:eastAsia="Calibri" w:cs="Arial"/>
        </w:rPr>
        <w:t xml:space="preserve">. </w:t>
      </w:r>
      <w:r w:rsidR="00296B63">
        <w:rPr>
          <w:rFonts w:eastAsia="Calibri" w:cs="Arial"/>
        </w:rPr>
        <w:t xml:space="preserve">For 2020/21 and beyond CPI is estimated at 2% giving formula rent increases of 3% </w:t>
      </w:r>
      <w:proofErr w:type="spellStart"/>
      <w:r w:rsidR="00296B63">
        <w:rPr>
          <w:rFonts w:eastAsia="Calibri" w:cs="Arial"/>
        </w:rPr>
        <w:t>i.e</w:t>
      </w:r>
      <w:proofErr w:type="spellEnd"/>
      <w:r w:rsidR="00296B63">
        <w:rPr>
          <w:rFonts w:eastAsia="Calibri" w:cs="Arial"/>
        </w:rPr>
        <w:t xml:space="preserve"> 2% + 1%. </w:t>
      </w:r>
      <w:r w:rsidR="00A32C96">
        <w:rPr>
          <w:rFonts w:eastAsia="Calibri" w:cs="Arial"/>
        </w:rPr>
        <w:t xml:space="preserve">Assuming the Council moves to rental convergence over </w:t>
      </w:r>
      <w:r w:rsidR="00EA5DBF">
        <w:rPr>
          <w:rFonts w:eastAsia="Calibri" w:cs="Arial"/>
        </w:rPr>
        <w:t xml:space="preserve">a </w:t>
      </w:r>
      <w:r w:rsidR="00A32C96">
        <w:rPr>
          <w:rFonts w:eastAsia="Calibri" w:cs="Arial"/>
        </w:rPr>
        <w:t>4 year</w:t>
      </w:r>
      <w:r w:rsidR="00EA5DBF">
        <w:rPr>
          <w:rFonts w:eastAsia="Calibri" w:cs="Arial"/>
        </w:rPr>
        <w:t xml:space="preserve"> period,</w:t>
      </w:r>
      <w:r w:rsidR="00A32C96">
        <w:rPr>
          <w:rFonts w:eastAsia="Calibri" w:cs="Arial"/>
        </w:rPr>
        <w:t xml:space="preserve"> a</w:t>
      </w:r>
      <w:r w:rsidR="00296B63">
        <w:rPr>
          <w:rFonts w:eastAsia="Calibri" w:cs="Arial"/>
        </w:rPr>
        <w:t xml:space="preserve">ctual rent rises are </w:t>
      </w:r>
      <w:r w:rsidR="00A32C96">
        <w:rPr>
          <w:rFonts w:eastAsia="Calibri" w:cs="Arial"/>
        </w:rPr>
        <w:t xml:space="preserve">estimated to rise by </w:t>
      </w:r>
      <w:r w:rsidR="00296B63">
        <w:rPr>
          <w:rFonts w:eastAsia="Calibri" w:cs="Arial"/>
        </w:rPr>
        <w:t xml:space="preserve">4% </w:t>
      </w:r>
      <w:r w:rsidR="00A32C96">
        <w:rPr>
          <w:rFonts w:eastAsia="Calibri" w:cs="Arial"/>
        </w:rPr>
        <w:t>per annum for this period</w:t>
      </w:r>
      <w:r w:rsidR="00296B63">
        <w:rPr>
          <w:rFonts w:eastAsia="Calibri" w:cs="Arial"/>
        </w:rPr>
        <w:t>.</w:t>
      </w:r>
    </w:p>
    <w:p w14:paraId="21AB48F3" w14:textId="77777777" w:rsidR="00B756DF" w:rsidRDefault="00B756DF" w:rsidP="00B756DF">
      <w:pPr>
        <w:rPr>
          <w:rFonts w:eastAsia="Calibri" w:cs="Arial"/>
        </w:rPr>
      </w:pPr>
    </w:p>
    <w:p w14:paraId="431A69A5" w14:textId="77777777" w:rsidR="00B756DF" w:rsidRDefault="00B756DF" w:rsidP="00B756DF">
      <w:pPr>
        <w:rPr>
          <w:rFonts w:eastAsia="Calibri"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304"/>
        <w:gridCol w:w="1458"/>
        <w:gridCol w:w="1439"/>
        <w:gridCol w:w="1235"/>
      </w:tblGrid>
      <w:tr w:rsidR="00595BE5" w:rsidRPr="00B76318" w14:paraId="620C717E" w14:textId="77777777" w:rsidTr="00595BE5">
        <w:tc>
          <w:tcPr>
            <w:tcW w:w="7990" w:type="dxa"/>
            <w:gridSpan w:val="4"/>
            <w:shd w:val="clear" w:color="auto" w:fill="BFBFBF"/>
          </w:tcPr>
          <w:p w14:paraId="6753B0D6" w14:textId="77777777" w:rsidR="00595BE5" w:rsidRPr="00B76318" w:rsidRDefault="00595BE5" w:rsidP="00D05C01">
            <w:pPr>
              <w:rPr>
                <w:rFonts w:cs="Arial"/>
                <w:b/>
              </w:rPr>
            </w:pPr>
            <w:r>
              <w:rPr>
                <w:rFonts w:cs="Arial"/>
                <w:b/>
              </w:rPr>
              <w:t>Table 7</w:t>
            </w:r>
            <w:r w:rsidRPr="00B76318">
              <w:rPr>
                <w:rFonts w:cs="Arial"/>
                <w:b/>
              </w:rPr>
              <w:t xml:space="preserve"> : Effect of Rent Changes on Average Rent 2018/19 to 2021/22</w:t>
            </w:r>
          </w:p>
        </w:tc>
        <w:tc>
          <w:tcPr>
            <w:tcW w:w="1252" w:type="dxa"/>
            <w:shd w:val="clear" w:color="auto" w:fill="BFBFBF"/>
          </w:tcPr>
          <w:p w14:paraId="10B3F00A" w14:textId="77777777" w:rsidR="00595BE5" w:rsidRDefault="00595BE5" w:rsidP="00D05C01">
            <w:pPr>
              <w:rPr>
                <w:rFonts w:cs="Arial"/>
                <w:b/>
              </w:rPr>
            </w:pPr>
          </w:p>
        </w:tc>
      </w:tr>
      <w:tr w:rsidR="00595BE5" w:rsidRPr="00B76318" w14:paraId="32730368" w14:textId="77777777" w:rsidTr="00C4417B">
        <w:tc>
          <w:tcPr>
            <w:tcW w:w="3597" w:type="dxa"/>
            <w:shd w:val="clear" w:color="auto" w:fill="BFBFBF"/>
          </w:tcPr>
          <w:p w14:paraId="126AE204" w14:textId="77777777" w:rsidR="00595BE5" w:rsidRPr="00B76318" w:rsidRDefault="00595BE5" w:rsidP="00884460">
            <w:pPr>
              <w:rPr>
                <w:rFonts w:cs="Arial"/>
              </w:rPr>
            </w:pPr>
          </w:p>
        </w:tc>
        <w:tc>
          <w:tcPr>
            <w:tcW w:w="4393" w:type="dxa"/>
            <w:gridSpan w:val="3"/>
            <w:shd w:val="clear" w:color="auto" w:fill="BFBFBF"/>
          </w:tcPr>
          <w:p w14:paraId="296D74DE" w14:textId="77777777" w:rsidR="00595BE5" w:rsidRPr="00B76318" w:rsidRDefault="00595BE5" w:rsidP="00714164">
            <w:pPr>
              <w:jc w:val="center"/>
              <w:rPr>
                <w:rFonts w:cs="Arial"/>
                <w:b/>
              </w:rPr>
            </w:pPr>
            <w:r>
              <w:rPr>
                <w:rFonts w:cs="Arial"/>
                <w:b/>
              </w:rPr>
              <w:t>Actual Average Weekly Rent</w:t>
            </w:r>
          </w:p>
        </w:tc>
        <w:tc>
          <w:tcPr>
            <w:tcW w:w="1252" w:type="dxa"/>
            <w:shd w:val="clear" w:color="auto" w:fill="BFBFBF"/>
          </w:tcPr>
          <w:p w14:paraId="67293213" w14:textId="77777777" w:rsidR="00595BE5" w:rsidRDefault="00595BE5" w:rsidP="00714164">
            <w:pPr>
              <w:jc w:val="center"/>
              <w:rPr>
                <w:rFonts w:cs="Arial"/>
                <w:b/>
              </w:rPr>
            </w:pPr>
          </w:p>
        </w:tc>
      </w:tr>
      <w:tr w:rsidR="00595BE5" w:rsidRPr="00B76318" w14:paraId="6F49F9A9" w14:textId="77777777" w:rsidTr="00595BE5">
        <w:tc>
          <w:tcPr>
            <w:tcW w:w="3597" w:type="dxa"/>
            <w:shd w:val="clear" w:color="auto" w:fill="BFBFBF"/>
          </w:tcPr>
          <w:p w14:paraId="015673F8" w14:textId="77777777" w:rsidR="00595BE5" w:rsidRPr="00B76318" w:rsidRDefault="00595BE5" w:rsidP="00884460">
            <w:pPr>
              <w:rPr>
                <w:rFonts w:cs="Arial"/>
              </w:rPr>
            </w:pPr>
          </w:p>
        </w:tc>
        <w:tc>
          <w:tcPr>
            <w:tcW w:w="1351" w:type="dxa"/>
            <w:shd w:val="clear" w:color="auto" w:fill="BFBFBF"/>
          </w:tcPr>
          <w:p w14:paraId="6CAB93A2" w14:textId="77777777" w:rsidR="00595BE5" w:rsidRPr="00B76318" w:rsidRDefault="00595BE5" w:rsidP="00AD4C32">
            <w:pPr>
              <w:jc w:val="center"/>
              <w:rPr>
                <w:rFonts w:cs="Arial"/>
                <w:b/>
              </w:rPr>
            </w:pPr>
            <w:r w:rsidRPr="00B76318">
              <w:rPr>
                <w:rFonts w:cs="Arial"/>
                <w:b/>
              </w:rPr>
              <w:t>Change</w:t>
            </w:r>
          </w:p>
        </w:tc>
        <w:tc>
          <w:tcPr>
            <w:tcW w:w="1540" w:type="dxa"/>
            <w:shd w:val="clear" w:color="auto" w:fill="BFBFBF"/>
          </w:tcPr>
          <w:p w14:paraId="0D4BA3F1" w14:textId="77777777" w:rsidR="00595BE5" w:rsidRPr="00B76318" w:rsidRDefault="00595BE5" w:rsidP="00AD4C32">
            <w:pPr>
              <w:jc w:val="center"/>
              <w:rPr>
                <w:rFonts w:cs="Arial"/>
                <w:b/>
              </w:rPr>
            </w:pPr>
            <w:r>
              <w:rPr>
                <w:rFonts w:cs="Arial"/>
                <w:b/>
              </w:rPr>
              <w:t>C</w:t>
            </w:r>
            <w:r w:rsidRPr="00B76318">
              <w:rPr>
                <w:rFonts w:cs="Arial"/>
                <w:b/>
              </w:rPr>
              <w:t>hange</w:t>
            </w:r>
          </w:p>
        </w:tc>
        <w:tc>
          <w:tcPr>
            <w:tcW w:w="1502" w:type="dxa"/>
            <w:shd w:val="clear" w:color="auto" w:fill="BFBFBF"/>
          </w:tcPr>
          <w:p w14:paraId="29DD1DC2" w14:textId="77777777" w:rsidR="00595BE5" w:rsidRPr="00B76318" w:rsidRDefault="00595BE5" w:rsidP="00714164">
            <w:pPr>
              <w:jc w:val="center"/>
              <w:rPr>
                <w:rFonts w:cs="Arial"/>
                <w:b/>
              </w:rPr>
            </w:pPr>
            <w:r w:rsidRPr="00B76318">
              <w:rPr>
                <w:rFonts w:cs="Arial"/>
                <w:b/>
              </w:rPr>
              <w:t>Average weekly Rent</w:t>
            </w:r>
          </w:p>
        </w:tc>
        <w:tc>
          <w:tcPr>
            <w:tcW w:w="1252" w:type="dxa"/>
            <w:shd w:val="clear" w:color="auto" w:fill="BFBFBF"/>
          </w:tcPr>
          <w:p w14:paraId="22CB60B6" w14:textId="77777777" w:rsidR="00595BE5" w:rsidRPr="00B76318" w:rsidRDefault="00595BE5" w:rsidP="00714164">
            <w:pPr>
              <w:jc w:val="center"/>
              <w:rPr>
                <w:rFonts w:cs="Arial"/>
                <w:b/>
              </w:rPr>
            </w:pPr>
            <w:r>
              <w:rPr>
                <w:rFonts w:cs="Arial"/>
                <w:b/>
              </w:rPr>
              <w:t>Formula Rent</w:t>
            </w:r>
          </w:p>
        </w:tc>
      </w:tr>
      <w:tr w:rsidR="00595BE5" w:rsidRPr="00B76318" w14:paraId="0ABFB8F0" w14:textId="77777777" w:rsidTr="00595BE5">
        <w:tc>
          <w:tcPr>
            <w:tcW w:w="3597" w:type="dxa"/>
            <w:shd w:val="clear" w:color="auto" w:fill="auto"/>
          </w:tcPr>
          <w:p w14:paraId="03FBB68B" w14:textId="77777777" w:rsidR="00595BE5" w:rsidRPr="00B76318" w:rsidRDefault="00595BE5" w:rsidP="00884460">
            <w:pPr>
              <w:rPr>
                <w:rFonts w:cs="Arial"/>
              </w:rPr>
            </w:pPr>
          </w:p>
        </w:tc>
        <w:tc>
          <w:tcPr>
            <w:tcW w:w="1351" w:type="dxa"/>
          </w:tcPr>
          <w:p w14:paraId="6A96A692" w14:textId="77777777" w:rsidR="00595BE5" w:rsidRPr="00B76318" w:rsidRDefault="00595BE5" w:rsidP="00714164">
            <w:pPr>
              <w:jc w:val="center"/>
              <w:rPr>
                <w:rFonts w:cs="Arial"/>
              </w:rPr>
            </w:pPr>
            <w:r w:rsidRPr="00B76318">
              <w:rPr>
                <w:rFonts w:cs="Arial"/>
              </w:rPr>
              <w:t>%</w:t>
            </w:r>
          </w:p>
        </w:tc>
        <w:tc>
          <w:tcPr>
            <w:tcW w:w="1540" w:type="dxa"/>
            <w:shd w:val="clear" w:color="auto" w:fill="auto"/>
          </w:tcPr>
          <w:p w14:paraId="30811218" w14:textId="77777777" w:rsidR="00595BE5" w:rsidRPr="00B76318" w:rsidRDefault="00595BE5" w:rsidP="00714164">
            <w:pPr>
              <w:jc w:val="center"/>
              <w:rPr>
                <w:rFonts w:cs="Arial"/>
              </w:rPr>
            </w:pPr>
            <w:r w:rsidRPr="00B76318">
              <w:rPr>
                <w:rFonts w:cs="Arial"/>
              </w:rPr>
              <w:t>£</w:t>
            </w:r>
          </w:p>
        </w:tc>
        <w:tc>
          <w:tcPr>
            <w:tcW w:w="1502" w:type="dxa"/>
            <w:shd w:val="clear" w:color="auto" w:fill="auto"/>
          </w:tcPr>
          <w:p w14:paraId="62A00180" w14:textId="77777777" w:rsidR="00595BE5" w:rsidRPr="00B76318" w:rsidRDefault="00595BE5" w:rsidP="00714164">
            <w:pPr>
              <w:jc w:val="center"/>
              <w:rPr>
                <w:rFonts w:cs="Arial"/>
              </w:rPr>
            </w:pPr>
            <w:r w:rsidRPr="00B76318">
              <w:rPr>
                <w:rFonts w:cs="Arial"/>
              </w:rPr>
              <w:t>£</w:t>
            </w:r>
          </w:p>
        </w:tc>
        <w:tc>
          <w:tcPr>
            <w:tcW w:w="1252" w:type="dxa"/>
          </w:tcPr>
          <w:p w14:paraId="2F668316" w14:textId="77777777" w:rsidR="00595BE5" w:rsidRPr="00B76318" w:rsidRDefault="00595BE5" w:rsidP="00714164">
            <w:pPr>
              <w:jc w:val="center"/>
              <w:rPr>
                <w:rFonts w:cs="Arial"/>
              </w:rPr>
            </w:pPr>
            <w:r>
              <w:rPr>
                <w:rFonts w:cs="Arial"/>
              </w:rPr>
              <w:t>£</w:t>
            </w:r>
          </w:p>
        </w:tc>
      </w:tr>
      <w:tr w:rsidR="00595BE5" w:rsidRPr="00B76318" w14:paraId="49FE3B1C" w14:textId="77777777" w:rsidTr="00595BE5">
        <w:tc>
          <w:tcPr>
            <w:tcW w:w="3597" w:type="dxa"/>
            <w:shd w:val="clear" w:color="auto" w:fill="auto"/>
          </w:tcPr>
          <w:p w14:paraId="78268FC6" w14:textId="77777777" w:rsidR="00595BE5" w:rsidRPr="00B76318" w:rsidRDefault="00595BE5" w:rsidP="00E508D1">
            <w:pPr>
              <w:rPr>
                <w:rFonts w:cs="Arial"/>
              </w:rPr>
            </w:pPr>
            <w:r w:rsidRPr="00B76318">
              <w:rPr>
                <w:rFonts w:cs="Arial"/>
              </w:rPr>
              <w:t>2018/19</w:t>
            </w:r>
          </w:p>
        </w:tc>
        <w:tc>
          <w:tcPr>
            <w:tcW w:w="1351" w:type="dxa"/>
          </w:tcPr>
          <w:p w14:paraId="7A668ECB" w14:textId="77777777" w:rsidR="00595BE5" w:rsidRPr="00B76318" w:rsidRDefault="00595BE5" w:rsidP="00CC5F66">
            <w:pPr>
              <w:jc w:val="right"/>
              <w:rPr>
                <w:rFonts w:cs="Arial"/>
              </w:rPr>
            </w:pPr>
            <w:r w:rsidRPr="00B76318">
              <w:rPr>
                <w:rFonts w:cs="Arial"/>
              </w:rPr>
              <w:t>(1.00)</w:t>
            </w:r>
          </w:p>
        </w:tc>
        <w:tc>
          <w:tcPr>
            <w:tcW w:w="1540" w:type="dxa"/>
            <w:shd w:val="clear" w:color="auto" w:fill="auto"/>
          </w:tcPr>
          <w:p w14:paraId="4B81094A" w14:textId="77777777" w:rsidR="00595BE5" w:rsidRPr="00B76318" w:rsidRDefault="00595BE5" w:rsidP="00CC5F66">
            <w:pPr>
              <w:jc w:val="right"/>
              <w:rPr>
                <w:rFonts w:cs="Arial"/>
              </w:rPr>
            </w:pPr>
            <w:r w:rsidRPr="00B76318">
              <w:rPr>
                <w:rFonts w:cs="Arial"/>
              </w:rPr>
              <w:t>(0.85)</w:t>
            </w:r>
          </w:p>
        </w:tc>
        <w:tc>
          <w:tcPr>
            <w:tcW w:w="1502" w:type="dxa"/>
            <w:shd w:val="clear" w:color="auto" w:fill="auto"/>
          </w:tcPr>
          <w:p w14:paraId="304E4C5A" w14:textId="77777777" w:rsidR="00595BE5" w:rsidRPr="00B76318" w:rsidRDefault="00595BE5" w:rsidP="00CC5F66">
            <w:pPr>
              <w:jc w:val="right"/>
              <w:rPr>
                <w:rFonts w:cs="Arial"/>
              </w:rPr>
            </w:pPr>
            <w:r w:rsidRPr="00B76318">
              <w:rPr>
                <w:rFonts w:cs="Arial"/>
              </w:rPr>
              <w:t>104.58</w:t>
            </w:r>
          </w:p>
        </w:tc>
        <w:tc>
          <w:tcPr>
            <w:tcW w:w="1252" w:type="dxa"/>
          </w:tcPr>
          <w:p w14:paraId="46D3E4D3" w14:textId="77777777" w:rsidR="00595BE5" w:rsidRPr="00B76318" w:rsidRDefault="00595BE5" w:rsidP="00CC5F66">
            <w:pPr>
              <w:jc w:val="right"/>
              <w:rPr>
                <w:rFonts w:cs="Arial"/>
              </w:rPr>
            </w:pPr>
            <w:r>
              <w:rPr>
                <w:rFonts w:cs="Arial"/>
              </w:rPr>
              <w:t>108.89</w:t>
            </w:r>
          </w:p>
        </w:tc>
      </w:tr>
      <w:tr w:rsidR="00595BE5" w:rsidRPr="00B76318" w14:paraId="1E76BCDE" w14:textId="77777777" w:rsidTr="00595BE5">
        <w:tc>
          <w:tcPr>
            <w:tcW w:w="3597" w:type="dxa"/>
            <w:shd w:val="clear" w:color="auto" w:fill="auto"/>
          </w:tcPr>
          <w:p w14:paraId="392E6D73" w14:textId="77777777" w:rsidR="00595BE5" w:rsidRPr="00B76318" w:rsidRDefault="00595BE5" w:rsidP="00AD4C32">
            <w:pPr>
              <w:rPr>
                <w:rFonts w:cs="Arial"/>
              </w:rPr>
            </w:pPr>
            <w:r w:rsidRPr="00B76318">
              <w:rPr>
                <w:rFonts w:cs="Arial"/>
              </w:rPr>
              <w:t>2019/20</w:t>
            </w:r>
          </w:p>
        </w:tc>
        <w:tc>
          <w:tcPr>
            <w:tcW w:w="1351" w:type="dxa"/>
          </w:tcPr>
          <w:p w14:paraId="4529AB2B" w14:textId="77777777" w:rsidR="00595BE5" w:rsidRPr="00B76318" w:rsidRDefault="00595BE5" w:rsidP="00CC5F66">
            <w:pPr>
              <w:jc w:val="right"/>
              <w:rPr>
                <w:rFonts w:cs="Arial"/>
              </w:rPr>
            </w:pPr>
            <w:r w:rsidRPr="00B76318">
              <w:rPr>
                <w:rFonts w:cs="Arial"/>
              </w:rPr>
              <w:t>(1.00)</w:t>
            </w:r>
          </w:p>
        </w:tc>
        <w:tc>
          <w:tcPr>
            <w:tcW w:w="1540" w:type="dxa"/>
            <w:shd w:val="clear" w:color="auto" w:fill="auto"/>
          </w:tcPr>
          <w:p w14:paraId="6A987B04" w14:textId="77777777" w:rsidR="00595BE5" w:rsidRPr="00B76318" w:rsidRDefault="00595BE5" w:rsidP="00CC5F66">
            <w:pPr>
              <w:jc w:val="right"/>
              <w:rPr>
                <w:rFonts w:cs="Arial"/>
              </w:rPr>
            </w:pPr>
            <w:r w:rsidRPr="00B76318">
              <w:rPr>
                <w:rFonts w:cs="Arial"/>
              </w:rPr>
              <w:t>(0.85)</w:t>
            </w:r>
          </w:p>
        </w:tc>
        <w:tc>
          <w:tcPr>
            <w:tcW w:w="1502" w:type="dxa"/>
            <w:shd w:val="clear" w:color="auto" w:fill="auto"/>
          </w:tcPr>
          <w:p w14:paraId="76B445F4" w14:textId="77777777" w:rsidR="00595BE5" w:rsidRPr="00B76318" w:rsidRDefault="00595BE5" w:rsidP="00CC5F66">
            <w:pPr>
              <w:jc w:val="right"/>
              <w:rPr>
                <w:rFonts w:cs="Arial"/>
              </w:rPr>
            </w:pPr>
            <w:r w:rsidRPr="00B76318">
              <w:rPr>
                <w:rFonts w:cs="Arial"/>
              </w:rPr>
              <w:t>103.73</w:t>
            </w:r>
          </w:p>
        </w:tc>
        <w:tc>
          <w:tcPr>
            <w:tcW w:w="1252" w:type="dxa"/>
          </w:tcPr>
          <w:p w14:paraId="7CECAB5B" w14:textId="77777777" w:rsidR="00595BE5" w:rsidRPr="00B76318" w:rsidRDefault="00595BE5" w:rsidP="00CC5F66">
            <w:pPr>
              <w:jc w:val="right"/>
              <w:rPr>
                <w:rFonts w:cs="Arial"/>
              </w:rPr>
            </w:pPr>
            <w:r>
              <w:rPr>
                <w:rFonts w:cs="Arial"/>
              </w:rPr>
              <w:t>107.80</w:t>
            </w:r>
          </w:p>
        </w:tc>
      </w:tr>
      <w:tr w:rsidR="00595BE5" w:rsidRPr="00B76318" w14:paraId="1EA1A894" w14:textId="77777777" w:rsidTr="00595BE5">
        <w:tc>
          <w:tcPr>
            <w:tcW w:w="3597" w:type="dxa"/>
            <w:shd w:val="clear" w:color="auto" w:fill="auto"/>
          </w:tcPr>
          <w:p w14:paraId="4C385F66" w14:textId="77777777" w:rsidR="00595BE5" w:rsidRPr="00B76318" w:rsidRDefault="00595BE5" w:rsidP="00AD4C32">
            <w:pPr>
              <w:rPr>
                <w:rFonts w:cs="Arial"/>
              </w:rPr>
            </w:pPr>
            <w:r w:rsidRPr="00B76318">
              <w:rPr>
                <w:rFonts w:cs="Arial"/>
              </w:rPr>
              <w:t>2020/21</w:t>
            </w:r>
          </w:p>
        </w:tc>
        <w:tc>
          <w:tcPr>
            <w:tcW w:w="1351" w:type="dxa"/>
          </w:tcPr>
          <w:p w14:paraId="29B0A239" w14:textId="77777777" w:rsidR="00595BE5" w:rsidRPr="00B76318" w:rsidRDefault="00595BE5" w:rsidP="00CC5F66">
            <w:pPr>
              <w:jc w:val="right"/>
              <w:rPr>
                <w:rFonts w:cs="Arial"/>
              </w:rPr>
            </w:pPr>
            <w:r w:rsidRPr="00B76318">
              <w:rPr>
                <w:rFonts w:cs="Arial"/>
              </w:rPr>
              <w:t>4.00</w:t>
            </w:r>
          </w:p>
        </w:tc>
        <w:tc>
          <w:tcPr>
            <w:tcW w:w="1540" w:type="dxa"/>
            <w:shd w:val="clear" w:color="auto" w:fill="auto"/>
          </w:tcPr>
          <w:p w14:paraId="784C3A32" w14:textId="77777777" w:rsidR="00595BE5" w:rsidRPr="00B76318" w:rsidRDefault="00595BE5" w:rsidP="00CC5F66">
            <w:pPr>
              <w:jc w:val="right"/>
              <w:rPr>
                <w:rFonts w:cs="Arial"/>
              </w:rPr>
            </w:pPr>
            <w:r w:rsidRPr="00B76318">
              <w:rPr>
                <w:rFonts w:cs="Arial"/>
              </w:rPr>
              <w:t>4.19</w:t>
            </w:r>
          </w:p>
        </w:tc>
        <w:tc>
          <w:tcPr>
            <w:tcW w:w="1502" w:type="dxa"/>
            <w:shd w:val="clear" w:color="auto" w:fill="auto"/>
          </w:tcPr>
          <w:p w14:paraId="1F619A09" w14:textId="77777777" w:rsidR="00595BE5" w:rsidRPr="00B76318" w:rsidRDefault="00595BE5" w:rsidP="00CC5F66">
            <w:pPr>
              <w:jc w:val="right"/>
              <w:rPr>
                <w:rFonts w:cs="Arial"/>
              </w:rPr>
            </w:pPr>
            <w:r w:rsidRPr="00B76318">
              <w:rPr>
                <w:rFonts w:cs="Arial"/>
              </w:rPr>
              <w:t>107.92</w:t>
            </w:r>
          </w:p>
        </w:tc>
        <w:tc>
          <w:tcPr>
            <w:tcW w:w="1252" w:type="dxa"/>
          </w:tcPr>
          <w:p w14:paraId="7E5F0722" w14:textId="77777777" w:rsidR="00595BE5" w:rsidRPr="00B76318" w:rsidRDefault="00595BE5" w:rsidP="00CC5F66">
            <w:pPr>
              <w:jc w:val="right"/>
              <w:rPr>
                <w:rFonts w:cs="Arial"/>
              </w:rPr>
            </w:pPr>
            <w:r>
              <w:rPr>
                <w:rFonts w:cs="Arial"/>
              </w:rPr>
              <w:t>111.04</w:t>
            </w:r>
          </w:p>
        </w:tc>
      </w:tr>
      <w:tr w:rsidR="00595BE5" w:rsidRPr="00894B8A" w14:paraId="66803159" w14:textId="77777777" w:rsidTr="00595BE5">
        <w:tc>
          <w:tcPr>
            <w:tcW w:w="3597" w:type="dxa"/>
            <w:shd w:val="clear" w:color="auto" w:fill="auto"/>
          </w:tcPr>
          <w:p w14:paraId="3ACCE7BE" w14:textId="77777777" w:rsidR="00595BE5" w:rsidRPr="00B76318" w:rsidRDefault="00595BE5" w:rsidP="00D05C01">
            <w:pPr>
              <w:rPr>
                <w:rFonts w:cs="Arial"/>
              </w:rPr>
            </w:pPr>
            <w:r w:rsidRPr="00B76318">
              <w:rPr>
                <w:rFonts w:cs="Arial"/>
              </w:rPr>
              <w:t>2021/22</w:t>
            </w:r>
          </w:p>
        </w:tc>
        <w:tc>
          <w:tcPr>
            <w:tcW w:w="1351" w:type="dxa"/>
          </w:tcPr>
          <w:p w14:paraId="61E343C8" w14:textId="77777777" w:rsidR="00595BE5" w:rsidRPr="00B76318" w:rsidRDefault="00595BE5" w:rsidP="00CC5F66">
            <w:pPr>
              <w:jc w:val="right"/>
              <w:rPr>
                <w:rFonts w:cs="Arial"/>
              </w:rPr>
            </w:pPr>
            <w:r w:rsidRPr="00B76318">
              <w:rPr>
                <w:rFonts w:cs="Arial"/>
              </w:rPr>
              <w:t>4.00</w:t>
            </w:r>
          </w:p>
        </w:tc>
        <w:tc>
          <w:tcPr>
            <w:tcW w:w="1540" w:type="dxa"/>
            <w:shd w:val="clear" w:color="auto" w:fill="auto"/>
          </w:tcPr>
          <w:p w14:paraId="66AC2EBD" w14:textId="77777777" w:rsidR="00595BE5" w:rsidRPr="00B76318" w:rsidRDefault="00595BE5" w:rsidP="00CC5F66">
            <w:pPr>
              <w:jc w:val="right"/>
              <w:rPr>
                <w:rFonts w:cs="Arial"/>
              </w:rPr>
            </w:pPr>
            <w:r w:rsidRPr="00B76318">
              <w:rPr>
                <w:rFonts w:cs="Arial"/>
              </w:rPr>
              <w:t>4.26</w:t>
            </w:r>
          </w:p>
        </w:tc>
        <w:tc>
          <w:tcPr>
            <w:tcW w:w="1502" w:type="dxa"/>
            <w:shd w:val="clear" w:color="auto" w:fill="auto"/>
          </w:tcPr>
          <w:p w14:paraId="7689F5C1" w14:textId="77777777" w:rsidR="00595BE5" w:rsidRPr="00B76318" w:rsidRDefault="00595BE5" w:rsidP="00CC5F66">
            <w:pPr>
              <w:jc w:val="right"/>
              <w:rPr>
                <w:rFonts w:cs="Arial"/>
              </w:rPr>
            </w:pPr>
            <w:r w:rsidRPr="00B76318">
              <w:rPr>
                <w:rFonts w:cs="Arial"/>
              </w:rPr>
              <w:t>112.18</w:t>
            </w:r>
          </w:p>
        </w:tc>
        <w:tc>
          <w:tcPr>
            <w:tcW w:w="1252" w:type="dxa"/>
          </w:tcPr>
          <w:p w14:paraId="25A5D8F0" w14:textId="77777777" w:rsidR="00595BE5" w:rsidRPr="00B76318" w:rsidRDefault="00595BE5" w:rsidP="00CC5F66">
            <w:pPr>
              <w:jc w:val="right"/>
              <w:rPr>
                <w:rFonts w:cs="Arial"/>
              </w:rPr>
            </w:pPr>
            <w:r>
              <w:rPr>
                <w:rFonts w:cs="Arial"/>
              </w:rPr>
              <w:t>114.37</w:t>
            </w:r>
          </w:p>
        </w:tc>
      </w:tr>
    </w:tbl>
    <w:p w14:paraId="5EF20C15" w14:textId="77777777" w:rsidR="00884460" w:rsidRPr="00894B8A" w:rsidRDefault="00884460" w:rsidP="00884460">
      <w:pPr>
        <w:ind w:left="720"/>
        <w:rPr>
          <w:rFonts w:cs="Arial"/>
          <w:highlight w:val="yellow"/>
        </w:rPr>
      </w:pPr>
    </w:p>
    <w:p w14:paraId="06C658ED" w14:textId="77777777" w:rsidR="00493F14" w:rsidRPr="00894B8A" w:rsidRDefault="00493F14" w:rsidP="00884460">
      <w:pPr>
        <w:ind w:left="720"/>
        <w:rPr>
          <w:rFonts w:cs="Arial"/>
          <w:highlight w:val="yellow"/>
        </w:rPr>
      </w:pPr>
    </w:p>
    <w:p w14:paraId="024E20AB" w14:textId="77777777" w:rsidR="001606EC" w:rsidRPr="00B76318" w:rsidRDefault="00CB383F" w:rsidP="006C4C35">
      <w:pPr>
        <w:numPr>
          <w:ilvl w:val="0"/>
          <w:numId w:val="6"/>
        </w:numPr>
        <w:spacing w:after="120"/>
        <w:ind w:left="851" w:hanging="284"/>
        <w:rPr>
          <w:rFonts w:eastAsia="Calibri" w:cs="Arial"/>
        </w:rPr>
      </w:pPr>
      <w:r w:rsidRPr="00B76318">
        <w:rPr>
          <w:rFonts w:eastAsia="Calibri" w:cs="Arial"/>
          <w:b/>
        </w:rPr>
        <w:t xml:space="preserve">Debt Management Strategy </w:t>
      </w:r>
    </w:p>
    <w:p w14:paraId="0A47E5D0" w14:textId="5EED005E" w:rsidR="00CB383F" w:rsidRPr="00B76318" w:rsidRDefault="00776FF8" w:rsidP="001606EC">
      <w:pPr>
        <w:spacing w:after="120"/>
        <w:ind w:left="851"/>
        <w:rPr>
          <w:rFonts w:eastAsia="Calibri" w:cs="Arial"/>
        </w:rPr>
      </w:pPr>
      <w:r w:rsidRPr="00B76318">
        <w:rPr>
          <w:rFonts w:eastAsia="Calibri" w:cs="Arial"/>
        </w:rPr>
        <w:t>T</w:t>
      </w:r>
      <w:r w:rsidR="00CB383F" w:rsidRPr="00B76318">
        <w:rPr>
          <w:rFonts w:eastAsia="Calibri" w:cs="Arial"/>
        </w:rPr>
        <w:t xml:space="preserve">he first £20m </w:t>
      </w:r>
      <w:r w:rsidR="00B76318" w:rsidRPr="00B76318">
        <w:rPr>
          <w:rFonts w:eastAsia="Calibri" w:cs="Arial"/>
        </w:rPr>
        <w:t xml:space="preserve">of the £200 million </w:t>
      </w:r>
      <w:r w:rsidR="00CB383F" w:rsidRPr="00B76318">
        <w:rPr>
          <w:rFonts w:eastAsia="Calibri" w:cs="Arial"/>
        </w:rPr>
        <w:t xml:space="preserve">self- financing loan </w:t>
      </w:r>
      <w:r w:rsidR="00B76318" w:rsidRPr="00B76318">
        <w:rPr>
          <w:rFonts w:eastAsia="Calibri" w:cs="Arial"/>
        </w:rPr>
        <w:t>was</w:t>
      </w:r>
      <w:r w:rsidRPr="00B76318">
        <w:rPr>
          <w:rFonts w:eastAsia="Calibri" w:cs="Arial"/>
        </w:rPr>
        <w:t xml:space="preserve"> due for repayment </w:t>
      </w:r>
      <w:r w:rsidR="00A238F7" w:rsidRPr="00B76318">
        <w:rPr>
          <w:rFonts w:eastAsia="Calibri" w:cs="Arial"/>
        </w:rPr>
        <w:t>o</w:t>
      </w:r>
      <w:r w:rsidR="00CB383F" w:rsidRPr="00B76318">
        <w:rPr>
          <w:rFonts w:eastAsia="Calibri" w:cs="Arial"/>
        </w:rPr>
        <w:t xml:space="preserve">n </w:t>
      </w:r>
      <w:r w:rsidR="00A238F7" w:rsidRPr="00B76318">
        <w:rPr>
          <w:rFonts w:eastAsia="Calibri" w:cs="Arial"/>
        </w:rPr>
        <w:t xml:space="preserve">31 March </w:t>
      </w:r>
      <w:r w:rsidR="00CB383F" w:rsidRPr="00B76318">
        <w:rPr>
          <w:rFonts w:eastAsia="Calibri" w:cs="Arial"/>
        </w:rPr>
        <w:t>2021</w:t>
      </w:r>
      <w:r w:rsidRPr="00B76318">
        <w:rPr>
          <w:rFonts w:eastAsia="Calibri" w:cs="Arial"/>
        </w:rPr>
        <w:t xml:space="preserve">. </w:t>
      </w:r>
      <w:r w:rsidR="001945A0" w:rsidRPr="00B76318">
        <w:rPr>
          <w:rFonts w:eastAsia="Calibri" w:cs="Arial"/>
        </w:rPr>
        <w:t xml:space="preserve">Last year it was agreed that this payment would be </w:t>
      </w:r>
      <w:r w:rsidR="00AB541D" w:rsidRPr="00B76318">
        <w:rPr>
          <w:rFonts w:eastAsia="Calibri" w:cs="Arial"/>
        </w:rPr>
        <w:t>deferred which</w:t>
      </w:r>
      <w:r w:rsidR="001945A0" w:rsidRPr="00B76318">
        <w:rPr>
          <w:rFonts w:eastAsia="Calibri" w:cs="Arial"/>
        </w:rPr>
        <w:t xml:space="preserve"> </w:t>
      </w:r>
      <w:r w:rsidR="00C66B1A">
        <w:rPr>
          <w:rFonts w:eastAsia="Calibri" w:cs="Arial"/>
        </w:rPr>
        <w:t>will</w:t>
      </w:r>
      <w:r w:rsidR="00CB383F" w:rsidRPr="00B76318">
        <w:rPr>
          <w:rFonts w:eastAsia="Calibri" w:cs="Arial"/>
        </w:rPr>
        <w:t xml:space="preserve"> </w:t>
      </w:r>
      <w:r w:rsidRPr="00B76318">
        <w:rPr>
          <w:rFonts w:eastAsia="Calibri" w:cs="Arial"/>
        </w:rPr>
        <w:t>generate</w:t>
      </w:r>
      <w:r w:rsidR="00CB383F" w:rsidRPr="00B76318">
        <w:rPr>
          <w:rFonts w:eastAsia="Calibri" w:cs="Arial"/>
        </w:rPr>
        <w:t xml:space="preserve"> an initial </w:t>
      </w:r>
      <w:r w:rsidR="00C66B1A">
        <w:rPr>
          <w:rFonts w:eastAsia="Calibri" w:cs="Arial"/>
        </w:rPr>
        <w:t xml:space="preserve">net </w:t>
      </w:r>
      <w:r w:rsidR="00CB383F" w:rsidRPr="00B76318">
        <w:rPr>
          <w:rFonts w:eastAsia="Calibri" w:cs="Arial"/>
        </w:rPr>
        <w:t>saving of £</w:t>
      </w:r>
      <w:r w:rsidR="00C66B1A">
        <w:rPr>
          <w:rFonts w:eastAsia="Calibri" w:cs="Arial"/>
        </w:rPr>
        <w:t>19.3 million</w:t>
      </w:r>
      <w:r w:rsidR="001B4B87" w:rsidRPr="00B76318">
        <w:rPr>
          <w:rFonts w:eastAsia="Calibri" w:cs="Arial"/>
        </w:rPr>
        <w:t>. The overall strategy is to repay debt when possible allowing for commitments to be financed whilst maintaining a minimum HRA working balance of £3.5 million</w:t>
      </w:r>
      <w:r w:rsidR="007F41B1" w:rsidRPr="00B76318">
        <w:rPr>
          <w:rFonts w:eastAsia="Calibri" w:cs="Arial"/>
        </w:rPr>
        <w:t>.</w:t>
      </w:r>
      <w:r w:rsidR="00B76318" w:rsidRPr="00B76318">
        <w:rPr>
          <w:rFonts w:eastAsia="Calibri" w:cs="Arial"/>
        </w:rPr>
        <w:t xml:space="preserve"> Additional loan financing </w:t>
      </w:r>
      <w:r w:rsidR="007808FE">
        <w:rPr>
          <w:rFonts w:eastAsia="Calibri" w:cs="Arial"/>
        </w:rPr>
        <w:t>of around £1</w:t>
      </w:r>
      <w:r w:rsidR="00277B67">
        <w:rPr>
          <w:rFonts w:eastAsia="Calibri" w:cs="Arial"/>
        </w:rPr>
        <w:t>0</w:t>
      </w:r>
      <w:r w:rsidR="007808FE">
        <w:rPr>
          <w:rFonts w:eastAsia="Calibri" w:cs="Arial"/>
        </w:rPr>
        <w:t>.</w:t>
      </w:r>
      <w:r w:rsidR="00100D64">
        <w:rPr>
          <w:rFonts w:eastAsia="Calibri" w:cs="Arial"/>
        </w:rPr>
        <w:t>7</w:t>
      </w:r>
      <w:r w:rsidR="007808FE">
        <w:rPr>
          <w:rFonts w:eastAsia="Calibri" w:cs="Arial"/>
        </w:rPr>
        <w:t xml:space="preserve"> million </w:t>
      </w:r>
      <w:r w:rsidR="00B76318" w:rsidRPr="00B76318">
        <w:rPr>
          <w:rFonts w:eastAsia="Calibri" w:cs="Arial"/>
        </w:rPr>
        <w:t>will be taken out over the period 2018-19 to 2024-25 to fund capital expenditure</w:t>
      </w:r>
      <w:r w:rsidR="00FD0D00">
        <w:rPr>
          <w:rFonts w:eastAsia="Calibri" w:cs="Arial"/>
        </w:rPr>
        <w:t>.</w:t>
      </w:r>
      <w:r w:rsidR="00B76318" w:rsidRPr="00B76318">
        <w:rPr>
          <w:rFonts w:eastAsia="Calibri" w:cs="Arial"/>
        </w:rPr>
        <w:t xml:space="preserve"> </w:t>
      </w:r>
      <w:r w:rsidR="005042FB">
        <w:rPr>
          <w:rFonts w:eastAsia="Calibri" w:cs="Arial"/>
        </w:rPr>
        <w:t>D</w:t>
      </w:r>
      <w:r w:rsidR="00100D64">
        <w:rPr>
          <w:rFonts w:eastAsia="Calibri" w:cs="Arial"/>
        </w:rPr>
        <w:t xml:space="preserve">ebt will </w:t>
      </w:r>
      <w:r w:rsidR="00FD0D00">
        <w:rPr>
          <w:rFonts w:eastAsia="Calibri" w:cs="Arial"/>
        </w:rPr>
        <w:t>peak at £2</w:t>
      </w:r>
      <w:r w:rsidR="00277B67">
        <w:rPr>
          <w:rFonts w:eastAsia="Calibri" w:cs="Arial"/>
        </w:rPr>
        <w:t>33</w:t>
      </w:r>
      <w:r w:rsidR="00FD0D00">
        <w:rPr>
          <w:rFonts w:eastAsia="Calibri" w:cs="Arial"/>
        </w:rPr>
        <w:t xml:space="preserve"> million in 2024-25, </w:t>
      </w:r>
      <w:r w:rsidR="00277B67">
        <w:rPr>
          <w:rFonts w:eastAsia="Calibri" w:cs="Arial"/>
        </w:rPr>
        <w:t>£8 million below the authorities</w:t>
      </w:r>
      <w:r w:rsidR="00FD0D00">
        <w:rPr>
          <w:rFonts w:eastAsia="Calibri" w:cs="Arial"/>
        </w:rPr>
        <w:t xml:space="preserve"> debt cap.</w:t>
      </w:r>
      <w:r w:rsidR="00100D64">
        <w:rPr>
          <w:rFonts w:eastAsia="Calibri" w:cs="Arial"/>
        </w:rPr>
        <w:t xml:space="preserve"> </w:t>
      </w:r>
      <w:r w:rsidR="00FD0D00">
        <w:rPr>
          <w:rFonts w:eastAsia="Calibri" w:cs="Arial"/>
        </w:rPr>
        <w:t>Loan repayments of £1</w:t>
      </w:r>
      <w:r w:rsidR="00277B67">
        <w:rPr>
          <w:rFonts w:eastAsia="Calibri" w:cs="Arial"/>
        </w:rPr>
        <w:t>0</w:t>
      </w:r>
      <w:r w:rsidR="00FD0D00">
        <w:rPr>
          <w:rFonts w:eastAsia="Calibri" w:cs="Arial"/>
        </w:rPr>
        <w:t xml:space="preserve">.7 million are provided for during the </w:t>
      </w:r>
      <w:r w:rsidR="00FD0D00" w:rsidRPr="00B76318">
        <w:rPr>
          <w:rFonts w:eastAsia="Calibri" w:cs="Arial"/>
        </w:rPr>
        <w:t>period 2025-26 to 20</w:t>
      </w:r>
      <w:r w:rsidR="00FD0D00">
        <w:rPr>
          <w:rFonts w:eastAsia="Calibri" w:cs="Arial"/>
        </w:rPr>
        <w:t>30</w:t>
      </w:r>
      <w:r w:rsidR="00FD0D00" w:rsidRPr="00B76318">
        <w:rPr>
          <w:rFonts w:eastAsia="Calibri" w:cs="Arial"/>
        </w:rPr>
        <w:t>-</w:t>
      </w:r>
      <w:r w:rsidR="00FD0D00">
        <w:rPr>
          <w:rFonts w:eastAsia="Calibri" w:cs="Arial"/>
        </w:rPr>
        <w:t>31 and furt</w:t>
      </w:r>
      <w:r w:rsidR="00B76318" w:rsidRPr="00B76318">
        <w:rPr>
          <w:rFonts w:eastAsia="Calibri" w:cs="Arial"/>
        </w:rPr>
        <w:t xml:space="preserve">her loan debt repayments of the </w:t>
      </w:r>
      <w:r w:rsidR="00717ADE" w:rsidRPr="00B76318">
        <w:rPr>
          <w:rFonts w:eastAsia="Calibri" w:cs="Arial"/>
        </w:rPr>
        <w:t>self-financing</w:t>
      </w:r>
      <w:r w:rsidR="00B76318" w:rsidRPr="00B76318">
        <w:rPr>
          <w:rFonts w:eastAsia="Calibri" w:cs="Arial"/>
        </w:rPr>
        <w:t xml:space="preserve"> loan will recommence in 2041-42</w:t>
      </w:r>
      <w:r w:rsidR="00100D64">
        <w:rPr>
          <w:rFonts w:eastAsia="Calibri" w:cs="Arial"/>
        </w:rPr>
        <w:t>.</w:t>
      </w:r>
    </w:p>
    <w:p w14:paraId="03481E0E" w14:textId="77777777" w:rsidR="002977AD" w:rsidRPr="00B76318" w:rsidRDefault="002977AD" w:rsidP="006C4C35">
      <w:pPr>
        <w:pStyle w:val="ListParagraph"/>
        <w:numPr>
          <w:ilvl w:val="0"/>
          <w:numId w:val="6"/>
        </w:numPr>
        <w:spacing w:after="120"/>
        <w:ind w:left="851" w:hanging="284"/>
        <w:rPr>
          <w:rFonts w:eastAsia="Calibri" w:cs="Arial"/>
          <w:b/>
        </w:rPr>
      </w:pPr>
      <w:r w:rsidRPr="00B76318">
        <w:rPr>
          <w:rFonts w:eastAsia="Calibri" w:cs="Arial"/>
          <w:b/>
        </w:rPr>
        <w:t>High Value Council Housing Levy</w:t>
      </w:r>
    </w:p>
    <w:p w14:paraId="00B5C01E" w14:textId="77777777" w:rsidR="002977AD" w:rsidRPr="00B76318" w:rsidRDefault="002977AD" w:rsidP="002977AD">
      <w:pPr>
        <w:pStyle w:val="ListParagraph"/>
        <w:spacing w:after="120"/>
        <w:ind w:left="851"/>
        <w:rPr>
          <w:rFonts w:eastAsia="Calibri" w:cs="Arial"/>
        </w:rPr>
      </w:pPr>
      <w:r w:rsidRPr="00B76318">
        <w:rPr>
          <w:rFonts w:eastAsia="Calibri" w:cs="Arial"/>
        </w:rPr>
        <w:t xml:space="preserve">Although the Government have </w:t>
      </w:r>
      <w:r w:rsidR="00B76318" w:rsidRPr="00B76318">
        <w:rPr>
          <w:rFonts w:eastAsia="Calibri" w:cs="Arial"/>
        </w:rPr>
        <w:t xml:space="preserve">not yet </w:t>
      </w:r>
      <w:r w:rsidRPr="00B76318">
        <w:rPr>
          <w:rFonts w:eastAsia="Calibri" w:cs="Arial"/>
        </w:rPr>
        <w:t xml:space="preserve">implemented </w:t>
      </w:r>
      <w:r w:rsidR="00B76318" w:rsidRPr="00B76318">
        <w:rPr>
          <w:rFonts w:eastAsia="Calibri" w:cs="Arial"/>
        </w:rPr>
        <w:t>the High Value Levy it is still on the statute books and therefore can still be enacted</w:t>
      </w:r>
      <w:r w:rsidRPr="00B76318">
        <w:rPr>
          <w:rFonts w:eastAsia="Calibri" w:cs="Arial"/>
        </w:rPr>
        <w:t>. In line with previous</w:t>
      </w:r>
      <w:r w:rsidR="00B76318" w:rsidRPr="00B76318">
        <w:rPr>
          <w:rFonts w:eastAsia="Calibri" w:cs="Arial"/>
        </w:rPr>
        <w:t xml:space="preserve"> years</w:t>
      </w:r>
      <w:r w:rsidRPr="00B76318">
        <w:rPr>
          <w:rFonts w:eastAsia="Calibri" w:cs="Arial"/>
        </w:rPr>
        <w:t xml:space="preserve"> assumptions the Council has provided for capital spend of around £7million </w:t>
      </w:r>
      <w:r w:rsidR="00B76318" w:rsidRPr="00B76318">
        <w:rPr>
          <w:rFonts w:eastAsia="Calibri" w:cs="Arial"/>
        </w:rPr>
        <w:t xml:space="preserve">per annum </w:t>
      </w:r>
      <w:r w:rsidRPr="00B76318">
        <w:rPr>
          <w:rFonts w:eastAsia="Calibri" w:cs="Arial"/>
        </w:rPr>
        <w:t xml:space="preserve">on this issue in lieu of Council house disposals to fund. </w:t>
      </w:r>
      <w:r w:rsidR="00277B67">
        <w:rPr>
          <w:rFonts w:eastAsia="Calibri" w:cs="Arial"/>
        </w:rPr>
        <w:t xml:space="preserve">In the Autumn Budget the Government confirmed that there would be a Right </w:t>
      </w:r>
      <w:proofErr w:type="gramStart"/>
      <w:r w:rsidR="00277B67">
        <w:rPr>
          <w:rFonts w:eastAsia="Calibri" w:cs="Arial"/>
        </w:rPr>
        <w:t>To</w:t>
      </w:r>
      <w:proofErr w:type="gramEnd"/>
      <w:r w:rsidR="00277B67">
        <w:rPr>
          <w:rFonts w:eastAsia="Calibri" w:cs="Arial"/>
        </w:rPr>
        <w:t xml:space="preserve"> Buy pilot in the Midlands </w:t>
      </w:r>
      <w:r w:rsidR="00A66C0B">
        <w:rPr>
          <w:rFonts w:eastAsia="Calibri" w:cs="Arial"/>
        </w:rPr>
        <w:t>beginning</w:t>
      </w:r>
      <w:r w:rsidR="00277B67">
        <w:rPr>
          <w:rFonts w:eastAsia="Calibri" w:cs="Arial"/>
        </w:rPr>
        <w:t xml:space="preserve"> in April 2018 for 1 year. It is unlikely that </w:t>
      </w:r>
      <w:r w:rsidR="00275274">
        <w:rPr>
          <w:rFonts w:eastAsia="Calibri" w:cs="Arial"/>
        </w:rPr>
        <w:t xml:space="preserve">that the </w:t>
      </w:r>
      <w:r w:rsidR="00277B67">
        <w:rPr>
          <w:rFonts w:eastAsia="Calibri" w:cs="Arial"/>
        </w:rPr>
        <w:t xml:space="preserve">high value levy </w:t>
      </w:r>
      <w:r w:rsidR="00275274">
        <w:rPr>
          <w:rFonts w:eastAsia="Calibri" w:cs="Arial"/>
        </w:rPr>
        <w:t xml:space="preserve">initiative will be </w:t>
      </w:r>
      <w:r w:rsidR="00277B67">
        <w:rPr>
          <w:rFonts w:eastAsia="Calibri" w:cs="Arial"/>
        </w:rPr>
        <w:t xml:space="preserve">rolled out in </w:t>
      </w:r>
      <w:r w:rsidR="00275274">
        <w:rPr>
          <w:rFonts w:eastAsia="Calibri" w:cs="Arial"/>
        </w:rPr>
        <w:t>201</w:t>
      </w:r>
      <w:r w:rsidR="00277B67">
        <w:rPr>
          <w:rFonts w:eastAsia="Calibri" w:cs="Arial"/>
        </w:rPr>
        <w:t>8</w:t>
      </w:r>
      <w:r w:rsidR="00275274">
        <w:rPr>
          <w:rFonts w:eastAsia="Calibri" w:cs="Arial"/>
        </w:rPr>
        <w:t>-</w:t>
      </w:r>
      <w:r w:rsidR="00277B67">
        <w:rPr>
          <w:rFonts w:eastAsia="Calibri" w:cs="Arial"/>
        </w:rPr>
        <w:t>19 and consequently the provision of £7million in 2018-19 will not be required</w:t>
      </w:r>
      <w:r w:rsidR="00275274">
        <w:rPr>
          <w:rFonts w:eastAsia="Calibri" w:cs="Arial"/>
        </w:rPr>
        <w:t xml:space="preserve">. </w:t>
      </w:r>
      <w:r w:rsidRPr="00B76318">
        <w:rPr>
          <w:rFonts w:eastAsia="Calibri" w:cs="Arial"/>
        </w:rPr>
        <w:t xml:space="preserve">  </w:t>
      </w:r>
    </w:p>
    <w:p w14:paraId="5797FC98" w14:textId="77777777" w:rsidR="00CB383F" w:rsidRPr="00163FA2" w:rsidRDefault="00776FF8" w:rsidP="006C4C35">
      <w:pPr>
        <w:numPr>
          <w:ilvl w:val="0"/>
          <w:numId w:val="6"/>
        </w:numPr>
        <w:autoSpaceDE w:val="0"/>
        <w:autoSpaceDN w:val="0"/>
        <w:adjustRightInd w:val="0"/>
        <w:spacing w:after="120"/>
        <w:ind w:left="851" w:right="380" w:hanging="284"/>
        <w:rPr>
          <w:rFonts w:cs="Arial"/>
          <w:b/>
        </w:rPr>
      </w:pPr>
      <w:r w:rsidRPr="00163FA2">
        <w:rPr>
          <w:rFonts w:cs="Arial"/>
          <w:b/>
        </w:rPr>
        <w:t>Right To Buy</w:t>
      </w:r>
      <w:r w:rsidR="00164388" w:rsidRPr="00163FA2">
        <w:rPr>
          <w:rFonts w:cs="Arial"/>
          <w:b/>
        </w:rPr>
        <w:t xml:space="preserve"> and other disposals</w:t>
      </w:r>
    </w:p>
    <w:p w14:paraId="7CC237E7" w14:textId="77777777" w:rsidR="001945A0" w:rsidRPr="00163FA2" w:rsidRDefault="00942056" w:rsidP="001945A0">
      <w:pPr>
        <w:autoSpaceDE w:val="0"/>
        <w:autoSpaceDN w:val="0"/>
        <w:adjustRightInd w:val="0"/>
        <w:spacing w:after="120"/>
        <w:ind w:left="851" w:right="380" w:hanging="284"/>
        <w:rPr>
          <w:rFonts w:cs="Arial"/>
        </w:rPr>
      </w:pPr>
      <w:r w:rsidRPr="00163FA2">
        <w:rPr>
          <w:rFonts w:cs="Arial"/>
        </w:rPr>
        <w:t xml:space="preserve">    </w:t>
      </w:r>
      <w:r w:rsidR="009062C9" w:rsidRPr="00163FA2">
        <w:rPr>
          <w:rFonts w:cs="Arial"/>
        </w:rPr>
        <w:t>D</w:t>
      </w:r>
      <w:r w:rsidR="00CB383F" w:rsidRPr="00163FA2">
        <w:rPr>
          <w:rFonts w:cs="Arial"/>
        </w:rPr>
        <w:t xml:space="preserve">isposals of around 40 dwellings per year until 2021/22 </w:t>
      </w:r>
      <w:r w:rsidR="009062C9" w:rsidRPr="00163FA2">
        <w:rPr>
          <w:rFonts w:cs="Arial"/>
        </w:rPr>
        <w:t>are assumed</w:t>
      </w:r>
      <w:r w:rsidR="007B0493" w:rsidRPr="00163FA2">
        <w:rPr>
          <w:rFonts w:cs="Arial"/>
        </w:rPr>
        <w:t>.</w:t>
      </w:r>
      <w:r w:rsidR="001B4B87" w:rsidRPr="00163FA2">
        <w:rPr>
          <w:rFonts w:cs="Arial"/>
        </w:rPr>
        <w:t xml:space="preserve"> Additionally</w:t>
      </w:r>
      <w:r w:rsidR="00F9462B" w:rsidRPr="00163FA2">
        <w:rPr>
          <w:rFonts w:cs="Arial"/>
        </w:rPr>
        <w:t>,</w:t>
      </w:r>
      <w:r w:rsidR="001B4B87" w:rsidRPr="00163FA2">
        <w:rPr>
          <w:rFonts w:cs="Arial"/>
        </w:rPr>
        <w:t xml:space="preserve"> the plan allows for 5 properties</w:t>
      </w:r>
      <w:r w:rsidR="00164388" w:rsidRPr="00163FA2">
        <w:rPr>
          <w:rFonts w:cs="Arial"/>
        </w:rPr>
        <w:t xml:space="preserve"> to be transferred to the Housing Company which the Council is able to do without Secretary of States approval under</w:t>
      </w:r>
      <w:r w:rsidR="003E43D7" w:rsidRPr="00163FA2">
        <w:rPr>
          <w:rFonts w:cs="Arial"/>
        </w:rPr>
        <w:t xml:space="preserve"> Section 32 of the Housing Act 1985 (as amended) and set out in the DCLG’s General Housing Consents.</w:t>
      </w:r>
    </w:p>
    <w:p w14:paraId="41E7A1E3" w14:textId="77777777" w:rsidR="00CB383F" w:rsidRPr="00163FA2" w:rsidRDefault="00714164" w:rsidP="006C4C35">
      <w:pPr>
        <w:numPr>
          <w:ilvl w:val="0"/>
          <w:numId w:val="6"/>
        </w:numPr>
        <w:autoSpaceDE w:val="0"/>
        <w:autoSpaceDN w:val="0"/>
        <w:adjustRightInd w:val="0"/>
        <w:spacing w:after="120"/>
        <w:ind w:left="851" w:right="380" w:hanging="284"/>
        <w:rPr>
          <w:rFonts w:cs="Arial"/>
          <w:b/>
        </w:rPr>
      </w:pPr>
      <w:r w:rsidRPr="00163FA2">
        <w:rPr>
          <w:rFonts w:cs="Arial"/>
          <w:b/>
        </w:rPr>
        <w:t xml:space="preserve"> </w:t>
      </w:r>
      <w:r w:rsidR="00CB383F" w:rsidRPr="00163FA2">
        <w:rPr>
          <w:rFonts w:cs="Arial"/>
          <w:b/>
        </w:rPr>
        <w:t>Inflation and pay assumptions</w:t>
      </w:r>
    </w:p>
    <w:p w14:paraId="6E3A5CCD" w14:textId="77777777" w:rsidR="00CB383F" w:rsidRPr="00163FA2" w:rsidRDefault="00942056" w:rsidP="00942056">
      <w:pPr>
        <w:autoSpaceDE w:val="0"/>
        <w:autoSpaceDN w:val="0"/>
        <w:adjustRightInd w:val="0"/>
        <w:spacing w:after="120"/>
        <w:ind w:left="851" w:right="380" w:hanging="284"/>
        <w:jc w:val="both"/>
        <w:rPr>
          <w:rFonts w:cs="Arial"/>
        </w:rPr>
      </w:pPr>
      <w:r w:rsidRPr="00163FA2">
        <w:rPr>
          <w:rFonts w:cs="Arial"/>
        </w:rPr>
        <w:t xml:space="preserve">    </w:t>
      </w:r>
      <w:r w:rsidR="008149C8" w:rsidRPr="00163FA2">
        <w:rPr>
          <w:rFonts w:cs="Arial"/>
        </w:rPr>
        <w:t>A</w:t>
      </w:r>
      <w:r w:rsidR="00CB383F" w:rsidRPr="00163FA2">
        <w:rPr>
          <w:rFonts w:cs="Arial"/>
        </w:rPr>
        <w:t xml:space="preserve">ll the assumptions for </w:t>
      </w:r>
      <w:r w:rsidR="007B0493" w:rsidRPr="00163FA2">
        <w:rPr>
          <w:rFonts w:cs="Arial"/>
        </w:rPr>
        <w:t>i</w:t>
      </w:r>
      <w:r w:rsidR="00CB383F" w:rsidRPr="00163FA2">
        <w:rPr>
          <w:rFonts w:cs="Arial"/>
        </w:rPr>
        <w:t xml:space="preserve">nflation are the same as for </w:t>
      </w:r>
      <w:r w:rsidR="008149C8" w:rsidRPr="00163FA2">
        <w:rPr>
          <w:rFonts w:cs="Arial"/>
        </w:rPr>
        <w:t>t</w:t>
      </w:r>
      <w:r w:rsidR="00CB383F" w:rsidRPr="00163FA2">
        <w:rPr>
          <w:rFonts w:cs="Arial"/>
        </w:rPr>
        <w:t>he Council’s General Fund.</w:t>
      </w:r>
    </w:p>
    <w:p w14:paraId="50070E6C" w14:textId="77777777" w:rsidR="002F4354" w:rsidRPr="00163FA2" w:rsidRDefault="002F4354" w:rsidP="006C4C35">
      <w:pPr>
        <w:numPr>
          <w:ilvl w:val="0"/>
          <w:numId w:val="6"/>
        </w:numPr>
        <w:autoSpaceDE w:val="0"/>
        <w:autoSpaceDN w:val="0"/>
        <w:adjustRightInd w:val="0"/>
        <w:spacing w:after="120"/>
        <w:ind w:left="851" w:right="380" w:hanging="284"/>
        <w:jc w:val="both"/>
        <w:rPr>
          <w:rFonts w:cs="Arial"/>
          <w:b/>
        </w:rPr>
      </w:pPr>
      <w:r w:rsidRPr="00163FA2">
        <w:rPr>
          <w:rFonts w:cs="Arial"/>
          <w:b/>
        </w:rPr>
        <w:t>Service Charges</w:t>
      </w:r>
    </w:p>
    <w:p w14:paraId="39C11914" w14:textId="77777777" w:rsidR="00163FA2" w:rsidRPr="00163FA2" w:rsidRDefault="00942056" w:rsidP="00163FA2">
      <w:pPr>
        <w:autoSpaceDE w:val="0"/>
        <w:autoSpaceDN w:val="0"/>
        <w:adjustRightInd w:val="0"/>
        <w:spacing w:after="120"/>
        <w:ind w:left="851" w:right="380" w:hanging="284"/>
        <w:jc w:val="both"/>
        <w:rPr>
          <w:rFonts w:cs="Arial"/>
        </w:rPr>
      </w:pPr>
      <w:r w:rsidRPr="00163FA2">
        <w:rPr>
          <w:rFonts w:cs="Arial"/>
        </w:rPr>
        <w:t xml:space="preserve">    </w:t>
      </w:r>
      <w:r w:rsidR="002F4354" w:rsidRPr="00163FA2">
        <w:rPr>
          <w:rFonts w:cs="Arial"/>
        </w:rPr>
        <w:t xml:space="preserve">Service charges such as caretaking, cleaning, CCTV, communal areas etc. have been increased in line with the convergence formula in previous years. </w:t>
      </w:r>
      <w:r w:rsidR="00800175" w:rsidRPr="00163FA2">
        <w:rPr>
          <w:rFonts w:cs="Arial"/>
        </w:rPr>
        <w:t>The</w:t>
      </w:r>
      <w:r w:rsidR="002F4354" w:rsidRPr="00163FA2">
        <w:rPr>
          <w:rFonts w:cs="Arial"/>
        </w:rPr>
        <w:t xml:space="preserve"> Council agreed to remove any associated service charge limiter (credits) over a 4 year perio</w:t>
      </w:r>
      <w:r w:rsidR="00163FA2" w:rsidRPr="00163FA2">
        <w:rPr>
          <w:rFonts w:cs="Arial"/>
        </w:rPr>
        <w:t>d limited to a maximum of £1/</w:t>
      </w:r>
      <w:proofErr w:type="spellStart"/>
      <w:r w:rsidR="00163FA2" w:rsidRPr="00163FA2">
        <w:rPr>
          <w:rFonts w:cs="Arial"/>
        </w:rPr>
        <w:t>wk</w:t>
      </w:r>
      <w:proofErr w:type="spellEnd"/>
      <w:r w:rsidR="00163FA2" w:rsidRPr="00163FA2">
        <w:rPr>
          <w:rFonts w:cs="Arial"/>
        </w:rPr>
        <w:t xml:space="preserve"> and by 2017-18 this limiter has been removed.</w:t>
      </w:r>
      <w:r w:rsidR="002F4354" w:rsidRPr="00163FA2">
        <w:rPr>
          <w:rFonts w:cs="Arial"/>
        </w:rPr>
        <w:t xml:space="preserve"> </w:t>
      </w:r>
    </w:p>
    <w:p w14:paraId="3FEBF7EC" w14:textId="77777777" w:rsidR="00CB383F" w:rsidRPr="00163FA2" w:rsidRDefault="00CB383F" w:rsidP="00163FA2">
      <w:pPr>
        <w:autoSpaceDE w:val="0"/>
        <w:autoSpaceDN w:val="0"/>
        <w:adjustRightInd w:val="0"/>
        <w:spacing w:after="120"/>
        <w:ind w:left="851" w:right="380" w:hanging="284"/>
        <w:jc w:val="both"/>
        <w:rPr>
          <w:rFonts w:cs="Arial"/>
          <w:b/>
        </w:rPr>
      </w:pPr>
      <w:r w:rsidRPr="00163FA2">
        <w:rPr>
          <w:rFonts w:cs="Arial"/>
          <w:b/>
        </w:rPr>
        <w:t>Working Balance</w:t>
      </w:r>
    </w:p>
    <w:p w14:paraId="5A92E28A" w14:textId="77777777" w:rsidR="00CB383F" w:rsidRPr="00163FA2" w:rsidRDefault="00942056" w:rsidP="00942056">
      <w:pPr>
        <w:autoSpaceDE w:val="0"/>
        <w:autoSpaceDN w:val="0"/>
        <w:adjustRightInd w:val="0"/>
        <w:spacing w:after="120"/>
        <w:ind w:left="851" w:right="380" w:hanging="284"/>
        <w:jc w:val="both"/>
        <w:rPr>
          <w:rFonts w:cs="Arial"/>
        </w:rPr>
      </w:pPr>
      <w:r w:rsidRPr="00163FA2">
        <w:rPr>
          <w:rFonts w:cs="Arial"/>
        </w:rPr>
        <w:t xml:space="preserve">    </w:t>
      </w:r>
      <w:r w:rsidR="00CB383F" w:rsidRPr="00163FA2">
        <w:rPr>
          <w:rFonts w:cs="Arial"/>
        </w:rPr>
        <w:t>The working balance levels allow sufficient monies for the funding of future years</w:t>
      </w:r>
      <w:r w:rsidR="007B0493" w:rsidRPr="00163FA2">
        <w:rPr>
          <w:rFonts w:cs="Arial"/>
        </w:rPr>
        <w:t>’</w:t>
      </w:r>
      <w:r w:rsidR="00CB383F" w:rsidRPr="00163FA2">
        <w:rPr>
          <w:rFonts w:cs="Arial"/>
        </w:rPr>
        <w:t xml:space="preserve"> Capital Programme</w:t>
      </w:r>
      <w:r w:rsidR="007B0493" w:rsidRPr="00163FA2">
        <w:rPr>
          <w:rFonts w:cs="Arial"/>
        </w:rPr>
        <w:t>,</w:t>
      </w:r>
      <w:r w:rsidR="00CB383F" w:rsidRPr="00163FA2">
        <w:rPr>
          <w:rFonts w:cs="Arial"/>
        </w:rPr>
        <w:t xml:space="preserve"> the repayment of the debt</w:t>
      </w:r>
      <w:r w:rsidR="007B0493" w:rsidRPr="00163FA2">
        <w:rPr>
          <w:rFonts w:cs="Arial"/>
        </w:rPr>
        <w:t>,</w:t>
      </w:r>
      <w:r w:rsidR="008149C8" w:rsidRPr="00163FA2">
        <w:rPr>
          <w:rFonts w:cs="Arial"/>
        </w:rPr>
        <w:t xml:space="preserve"> as well as a</w:t>
      </w:r>
      <w:r w:rsidR="00CB383F" w:rsidRPr="00163FA2">
        <w:rPr>
          <w:rFonts w:cs="Arial"/>
        </w:rPr>
        <w:t xml:space="preserve">n amount of £3.5 million as being the minimum required to cover unexpected events such as falling investment income or increased costs. </w:t>
      </w:r>
    </w:p>
    <w:p w14:paraId="50099EC0" w14:textId="77777777" w:rsidR="00CB383F" w:rsidRPr="00894B8A" w:rsidRDefault="00CB383F" w:rsidP="00CB383F">
      <w:pPr>
        <w:autoSpaceDE w:val="0"/>
        <w:autoSpaceDN w:val="0"/>
        <w:adjustRightInd w:val="0"/>
        <w:jc w:val="both"/>
        <w:rPr>
          <w:rFonts w:cs="Arial"/>
          <w:b/>
          <w:highlight w:val="yellow"/>
        </w:rPr>
      </w:pPr>
    </w:p>
    <w:p w14:paraId="79ECC513" w14:textId="78D4FEF6" w:rsidR="00CB383F" w:rsidRPr="008D6AFC" w:rsidRDefault="00B573F6" w:rsidP="008D6AFC">
      <w:pPr>
        <w:spacing w:before="240" w:after="120"/>
        <w:outlineLvl w:val="0"/>
        <w:rPr>
          <w:b/>
          <w:color w:val="000000"/>
          <w:lang w:eastAsia="en-GB"/>
        </w:rPr>
      </w:pPr>
      <w:r w:rsidRPr="008D6AFC">
        <w:rPr>
          <w:b/>
          <w:color w:val="000000"/>
          <w:lang w:eastAsia="en-GB"/>
        </w:rPr>
        <w:t>N</w:t>
      </w:r>
      <w:r w:rsidR="005A10FC" w:rsidRPr="008D6AFC">
        <w:rPr>
          <w:b/>
          <w:color w:val="000000"/>
          <w:lang w:eastAsia="en-GB"/>
        </w:rPr>
        <w:t>ew investment</w:t>
      </w:r>
      <w:r w:rsidR="00CB383F" w:rsidRPr="008D6AFC">
        <w:rPr>
          <w:b/>
          <w:color w:val="000000"/>
          <w:lang w:eastAsia="en-GB"/>
        </w:rPr>
        <w:t xml:space="preserve"> Proposals</w:t>
      </w:r>
    </w:p>
    <w:p w14:paraId="0B5174BF" w14:textId="77777777" w:rsidR="00CB383F" w:rsidRPr="008663F4" w:rsidRDefault="00390239" w:rsidP="00942056">
      <w:pPr>
        <w:ind w:left="567" w:hanging="567"/>
        <w:contextualSpacing/>
        <w:rPr>
          <w:rFonts w:eastAsia="Calibri" w:cs="Arial"/>
        </w:rPr>
      </w:pPr>
      <w:r>
        <w:rPr>
          <w:rFonts w:eastAsia="Calibri" w:cs="Arial"/>
        </w:rPr>
        <w:t>67</w:t>
      </w:r>
      <w:r w:rsidR="006D6BBB">
        <w:rPr>
          <w:rFonts w:eastAsia="Calibri" w:cs="Arial"/>
        </w:rPr>
        <w:tab/>
      </w:r>
      <w:r w:rsidR="007E18CF" w:rsidRPr="008663F4">
        <w:rPr>
          <w:rFonts w:eastAsia="Calibri" w:cs="Arial"/>
        </w:rPr>
        <w:t xml:space="preserve">Increased HRA revenue </w:t>
      </w:r>
      <w:proofErr w:type="gramStart"/>
      <w:r w:rsidR="007F41B1" w:rsidRPr="008663F4">
        <w:rPr>
          <w:rFonts w:eastAsia="Calibri" w:cs="Arial"/>
        </w:rPr>
        <w:t>spend</w:t>
      </w:r>
      <w:proofErr w:type="gramEnd"/>
      <w:r w:rsidR="007F41B1" w:rsidRPr="008663F4">
        <w:rPr>
          <w:rFonts w:eastAsia="Calibri" w:cs="Arial"/>
        </w:rPr>
        <w:t xml:space="preserve"> is</w:t>
      </w:r>
      <w:r w:rsidR="00CB383F" w:rsidRPr="008663F4">
        <w:rPr>
          <w:rFonts w:eastAsia="Calibri" w:cs="Arial"/>
        </w:rPr>
        <w:t xml:space="preserve"> shown in Appendix </w:t>
      </w:r>
      <w:r w:rsidR="0024028E" w:rsidRPr="008663F4">
        <w:rPr>
          <w:rFonts w:eastAsia="Calibri" w:cs="Arial"/>
        </w:rPr>
        <w:t>3</w:t>
      </w:r>
      <w:r w:rsidR="005A10FC" w:rsidRPr="008663F4">
        <w:rPr>
          <w:rFonts w:eastAsia="Calibri" w:cs="Arial"/>
        </w:rPr>
        <w:t xml:space="preserve"> </w:t>
      </w:r>
      <w:r w:rsidR="00E765D1" w:rsidRPr="008663F4">
        <w:rPr>
          <w:rFonts w:eastAsia="Calibri" w:cs="Arial"/>
        </w:rPr>
        <w:t>with the</w:t>
      </w:r>
      <w:r w:rsidR="001C5D62" w:rsidRPr="008663F4">
        <w:rPr>
          <w:rFonts w:eastAsia="Calibri" w:cs="Arial"/>
        </w:rPr>
        <w:t xml:space="preserve"> more significant being as follows</w:t>
      </w:r>
      <w:r w:rsidR="005A10FC" w:rsidRPr="008663F4">
        <w:rPr>
          <w:rFonts w:eastAsia="Calibri" w:cs="Arial"/>
        </w:rPr>
        <w:t>:</w:t>
      </w:r>
    </w:p>
    <w:p w14:paraId="4EF88D31" w14:textId="77777777" w:rsidR="001945A0" w:rsidRPr="008663F4" w:rsidRDefault="001945A0" w:rsidP="001945A0">
      <w:pPr>
        <w:rPr>
          <w:rFonts w:eastAsia="Calibri" w:cs="Arial"/>
        </w:rPr>
      </w:pPr>
    </w:p>
    <w:p w14:paraId="304D676B" w14:textId="28751899" w:rsidR="00C92C17" w:rsidRPr="008663F4" w:rsidRDefault="00C92C17" w:rsidP="006C4C35">
      <w:pPr>
        <w:numPr>
          <w:ilvl w:val="0"/>
          <w:numId w:val="6"/>
        </w:numPr>
        <w:rPr>
          <w:rFonts w:eastAsia="Calibri"/>
        </w:rPr>
      </w:pPr>
      <w:r w:rsidRPr="008663F4">
        <w:rPr>
          <w:rFonts w:eastAsia="Calibri"/>
          <w:b/>
        </w:rPr>
        <w:t>Energy Officer</w:t>
      </w:r>
      <w:r w:rsidRPr="008663F4">
        <w:rPr>
          <w:rFonts w:eastAsia="Calibri"/>
        </w:rPr>
        <w:t xml:space="preserve"> – </w:t>
      </w:r>
      <w:r w:rsidR="000E3E60" w:rsidRPr="008663F4">
        <w:rPr>
          <w:rFonts w:eastAsia="Calibri"/>
        </w:rPr>
        <w:t xml:space="preserve">2 </w:t>
      </w:r>
      <w:r w:rsidR="003369AE">
        <w:rPr>
          <w:rFonts w:eastAsia="Calibri"/>
        </w:rPr>
        <w:t>FTE</w:t>
      </w:r>
      <w:r w:rsidR="000E3E60" w:rsidRPr="008663F4">
        <w:rPr>
          <w:rFonts w:eastAsia="Calibri"/>
        </w:rPr>
        <w:t>s for first 2 years (£80k) reducing to 1 fr</w:t>
      </w:r>
      <w:r w:rsidR="00A32C96">
        <w:rPr>
          <w:rFonts w:eastAsia="Calibri"/>
        </w:rPr>
        <w:t>o</w:t>
      </w:r>
      <w:r w:rsidR="000E3E60" w:rsidRPr="008663F4">
        <w:rPr>
          <w:rFonts w:eastAsia="Calibri"/>
        </w:rPr>
        <w:t xml:space="preserve">m 2020/21 (£40k). To build on the continued success of </w:t>
      </w:r>
      <w:r w:rsidR="00A32C96">
        <w:rPr>
          <w:rFonts w:eastAsia="Calibri"/>
        </w:rPr>
        <w:t>this project over the last 2 years</w:t>
      </w:r>
      <w:r w:rsidRPr="008663F4">
        <w:rPr>
          <w:rFonts w:eastAsia="Calibri"/>
        </w:rPr>
        <w:t>.</w:t>
      </w:r>
    </w:p>
    <w:p w14:paraId="24854CD0" w14:textId="77777777" w:rsidR="00C92C17" w:rsidRPr="008663F4" w:rsidRDefault="00C92C17" w:rsidP="006C4C35">
      <w:pPr>
        <w:numPr>
          <w:ilvl w:val="0"/>
          <w:numId w:val="6"/>
        </w:numPr>
        <w:rPr>
          <w:rFonts w:eastAsia="Calibri"/>
        </w:rPr>
      </w:pPr>
      <w:r w:rsidRPr="008663F4">
        <w:rPr>
          <w:rFonts w:eastAsia="Calibri"/>
          <w:b/>
        </w:rPr>
        <w:t xml:space="preserve">Decants </w:t>
      </w:r>
      <w:r w:rsidR="003506EA" w:rsidRPr="008663F4">
        <w:rPr>
          <w:rFonts w:eastAsia="Calibri"/>
          <w:b/>
        </w:rPr>
        <w:t xml:space="preserve">and </w:t>
      </w:r>
      <w:proofErr w:type="spellStart"/>
      <w:r w:rsidR="003506EA" w:rsidRPr="008663F4">
        <w:rPr>
          <w:rFonts w:eastAsia="Calibri"/>
          <w:b/>
        </w:rPr>
        <w:t>homeloss</w:t>
      </w:r>
      <w:proofErr w:type="spellEnd"/>
      <w:r w:rsidR="003506EA" w:rsidRPr="008663F4">
        <w:rPr>
          <w:rFonts w:eastAsia="Calibri"/>
          <w:b/>
        </w:rPr>
        <w:t xml:space="preserve"> costs </w:t>
      </w:r>
      <w:r w:rsidRPr="008663F4">
        <w:rPr>
          <w:rFonts w:eastAsia="Calibri"/>
          <w:b/>
        </w:rPr>
        <w:t xml:space="preserve">- </w:t>
      </w:r>
      <w:r w:rsidRPr="008663F4">
        <w:rPr>
          <w:rFonts w:eastAsia="Calibri"/>
        </w:rPr>
        <w:t xml:space="preserve"> £</w:t>
      </w:r>
      <w:r w:rsidR="003506EA" w:rsidRPr="008663F4">
        <w:rPr>
          <w:rFonts w:eastAsia="Calibri"/>
        </w:rPr>
        <w:t>65</w:t>
      </w:r>
      <w:r w:rsidRPr="008663F4">
        <w:rPr>
          <w:rFonts w:eastAsia="Calibri"/>
        </w:rPr>
        <w:t xml:space="preserve">k </w:t>
      </w:r>
      <w:r w:rsidR="003506EA" w:rsidRPr="008663F4">
        <w:rPr>
          <w:rFonts w:eastAsia="Calibri"/>
        </w:rPr>
        <w:t xml:space="preserve">for 2 years to </w:t>
      </w:r>
      <w:r w:rsidR="00B573F6">
        <w:rPr>
          <w:rFonts w:eastAsia="Calibri"/>
        </w:rPr>
        <w:t xml:space="preserve">allow for decanting costs and </w:t>
      </w:r>
      <w:r w:rsidR="004C37C3">
        <w:rPr>
          <w:rFonts w:eastAsia="Calibri"/>
        </w:rPr>
        <w:t>“</w:t>
      </w:r>
      <w:proofErr w:type="spellStart"/>
      <w:r w:rsidR="00B573F6">
        <w:rPr>
          <w:rFonts w:eastAsia="Calibri"/>
        </w:rPr>
        <w:t>homeloss</w:t>
      </w:r>
      <w:proofErr w:type="spellEnd"/>
      <w:r w:rsidR="004C37C3">
        <w:rPr>
          <w:rFonts w:eastAsia="Calibri"/>
        </w:rPr>
        <w:t>”</w:t>
      </w:r>
      <w:r w:rsidR="00B573F6">
        <w:rPr>
          <w:rFonts w:eastAsia="Calibri"/>
        </w:rPr>
        <w:t xml:space="preserve"> payments in new regeneration and development schemes within the Housing Capital </w:t>
      </w:r>
      <w:r w:rsidR="007C1D05">
        <w:rPr>
          <w:rFonts w:eastAsia="Calibri"/>
        </w:rPr>
        <w:t>Programme</w:t>
      </w:r>
      <w:r w:rsidRPr="008663F4">
        <w:rPr>
          <w:rFonts w:eastAsia="Calibri"/>
        </w:rPr>
        <w:t xml:space="preserve"> </w:t>
      </w:r>
    </w:p>
    <w:p w14:paraId="28E09258" w14:textId="77777777" w:rsidR="003506EA" w:rsidRPr="008663F4" w:rsidRDefault="003506EA" w:rsidP="006C4C35">
      <w:pPr>
        <w:numPr>
          <w:ilvl w:val="0"/>
          <w:numId w:val="6"/>
        </w:numPr>
        <w:rPr>
          <w:rFonts w:eastAsia="Calibri"/>
        </w:rPr>
      </w:pPr>
      <w:r w:rsidRPr="008663F4">
        <w:rPr>
          <w:rFonts w:eastAsia="Calibri"/>
          <w:b/>
        </w:rPr>
        <w:t>Resident Liaison Co-</w:t>
      </w:r>
      <w:r w:rsidRPr="00A66C0B">
        <w:rPr>
          <w:rFonts w:eastAsia="Calibri"/>
          <w:b/>
        </w:rPr>
        <w:t>ordinator</w:t>
      </w:r>
      <w:r w:rsidRPr="008663F4">
        <w:rPr>
          <w:rFonts w:eastAsia="Calibri"/>
        </w:rPr>
        <w:t xml:space="preserve"> - £38k ongoing. Due to the success of employing a temporary member of staff for Tower Block refurbishment programme this resource will provide liaison with </w:t>
      </w:r>
      <w:r w:rsidR="007C1D05" w:rsidRPr="008663F4">
        <w:rPr>
          <w:rFonts w:eastAsia="Calibri"/>
        </w:rPr>
        <w:t>tenants</w:t>
      </w:r>
      <w:r w:rsidRPr="008663F4">
        <w:rPr>
          <w:rFonts w:eastAsia="Calibri"/>
        </w:rPr>
        <w:t xml:space="preserve"> for other major </w:t>
      </w:r>
      <w:r w:rsidR="007C1D05" w:rsidRPr="008663F4">
        <w:rPr>
          <w:rFonts w:eastAsia="Calibri"/>
        </w:rPr>
        <w:t>refurbishment</w:t>
      </w:r>
      <w:r w:rsidRPr="008663F4">
        <w:rPr>
          <w:rFonts w:eastAsia="Calibri"/>
        </w:rPr>
        <w:t xml:space="preserve"> programmes</w:t>
      </w:r>
    </w:p>
    <w:p w14:paraId="4A5AF816" w14:textId="77777777" w:rsidR="003506EA" w:rsidRDefault="003506EA" w:rsidP="006C4C35">
      <w:pPr>
        <w:numPr>
          <w:ilvl w:val="0"/>
          <w:numId w:val="6"/>
        </w:numPr>
        <w:rPr>
          <w:rFonts w:eastAsia="Calibri"/>
        </w:rPr>
      </w:pPr>
      <w:r w:rsidRPr="008663F4">
        <w:rPr>
          <w:rFonts w:eastAsia="Calibri"/>
          <w:b/>
        </w:rPr>
        <w:t xml:space="preserve">Increased court </w:t>
      </w:r>
      <w:proofErr w:type="gramStart"/>
      <w:r w:rsidRPr="008663F4">
        <w:rPr>
          <w:rFonts w:eastAsia="Calibri"/>
          <w:b/>
        </w:rPr>
        <w:t>costs  –</w:t>
      </w:r>
      <w:proofErr w:type="gramEnd"/>
      <w:r w:rsidRPr="008663F4">
        <w:rPr>
          <w:rFonts w:eastAsia="Calibri"/>
        </w:rPr>
        <w:t xml:space="preserve"> £150k pa Increased cost</w:t>
      </w:r>
      <w:r w:rsidR="00A32C96">
        <w:rPr>
          <w:rFonts w:eastAsia="Calibri"/>
        </w:rPr>
        <w:t>s due to increased arrears recovery</w:t>
      </w:r>
      <w:r w:rsidRPr="008663F4">
        <w:rPr>
          <w:rFonts w:eastAsia="Calibri"/>
        </w:rPr>
        <w:t xml:space="preserve"> activity.</w:t>
      </w:r>
    </w:p>
    <w:p w14:paraId="1EEC2DB9" w14:textId="77777777" w:rsidR="00B573F6" w:rsidRPr="008663F4" w:rsidRDefault="00B573F6" w:rsidP="006C4C35">
      <w:pPr>
        <w:numPr>
          <w:ilvl w:val="0"/>
          <w:numId w:val="6"/>
        </w:numPr>
        <w:rPr>
          <w:rFonts w:eastAsia="Calibri"/>
        </w:rPr>
      </w:pPr>
      <w:r>
        <w:rPr>
          <w:rFonts w:eastAsia="Calibri"/>
          <w:b/>
        </w:rPr>
        <w:t>Pest Control -</w:t>
      </w:r>
      <w:r>
        <w:rPr>
          <w:rFonts w:eastAsia="Calibri"/>
        </w:rPr>
        <w:t xml:space="preserve"> £45k </w:t>
      </w:r>
      <w:proofErr w:type="gramStart"/>
      <w:r>
        <w:rPr>
          <w:rFonts w:eastAsia="Calibri"/>
        </w:rPr>
        <w:t>To</w:t>
      </w:r>
      <w:proofErr w:type="gramEnd"/>
      <w:r>
        <w:rPr>
          <w:rFonts w:eastAsia="Calibri"/>
        </w:rPr>
        <w:t xml:space="preserve"> provide </w:t>
      </w:r>
      <w:r w:rsidR="00A32C96">
        <w:rPr>
          <w:rFonts w:eastAsia="Calibri"/>
        </w:rPr>
        <w:t xml:space="preserve">enhanced </w:t>
      </w:r>
      <w:r>
        <w:rPr>
          <w:rFonts w:eastAsia="Calibri"/>
        </w:rPr>
        <w:t xml:space="preserve">pest control </w:t>
      </w:r>
      <w:r w:rsidR="00A32C96">
        <w:rPr>
          <w:rFonts w:eastAsia="Calibri"/>
        </w:rPr>
        <w:t>services</w:t>
      </w:r>
      <w:r>
        <w:rPr>
          <w:rFonts w:eastAsia="Calibri"/>
        </w:rPr>
        <w:t>.</w:t>
      </w:r>
    </w:p>
    <w:p w14:paraId="65A2E1DB" w14:textId="77777777" w:rsidR="008663F4" w:rsidRPr="008663F4" w:rsidRDefault="008663F4" w:rsidP="006C4C35">
      <w:pPr>
        <w:numPr>
          <w:ilvl w:val="0"/>
          <w:numId w:val="6"/>
        </w:numPr>
        <w:rPr>
          <w:rFonts w:eastAsia="Calibri"/>
        </w:rPr>
      </w:pPr>
      <w:r w:rsidRPr="008663F4">
        <w:rPr>
          <w:rFonts w:eastAsia="Calibri"/>
          <w:b/>
        </w:rPr>
        <w:t>Income Officer -</w:t>
      </w:r>
      <w:r w:rsidRPr="008663F4">
        <w:rPr>
          <w:rFonts w:eastAsia="Calibri"/>
        </w:rPr>
        <w:t xml:space="preserve"> £45k one additional post in income collection and administration to deal with increased work arising from Universal Credit.</w:t>
      </w:r>
    </w:p>
    <w:p w14:paraId="34BF6B9F" w14:textId="77777777" w:rsidR="008663F4" w:rsidRPr="008663F4" w:rsidRDefault="008663F4" w:rsidP="006C4C35">
      <w:pPr>
        <w:numPr>
          <w:ilvl w:val="0"/>
          <w:numId w:val="6"/>
        </w:numPr>
        <w:rPr>
          <w:rFonts w:eastAsia="Calibri"/>
        </w:rPr>
      </w:pPr>
      <w:r w:rsidRPr="008663F4">
        <w:rPr>
          <w:rFonts w:eastAsia="Calibri"/>
          <w:b/>
        </w:rPr>
        <w:t>Health and Safety -</w:t>
      </w:r>
      <w:r w:rsidRPr="008663F4">
        <w:rPr>
          <w:rFonts w:eastAsia="Calibri"/>
        </w:rPr>
        <w:t xml:space="preserve"> £194k ongoing and £35k for one year. There have been a number of issues recently in regard to health and safety matters with council property. The additional monies will be used to strengthen </w:t>
      </w:r>
      <w:r w:rsidR="00A32C96">
        <w:rPr>
          <w:rFonts w:eastAsia="Calibri"/>
        </w:rPr>
        <w:t xml:space="preserve">compliance with regard to fire asbestos and water </w:t>
      </w:r>
      <w:r w:rsidRPr="008663F4">
        <w:rPr>
          <w:rFonts w:eastAsia="Calibri"/>
        </w:rPr>
        <w:t>safety</w:t>
      </w:r>
      <w:r w:rsidR="00A32C96">
        <w:rPr>
          <w:rFonts w:eastAsia="Calibri"/>
        </w:rPr>
        <w:t>.</w:t>
      </w:r>
    </w:p>
    <w:p w14:paraId="2E907D2B" w14:textId="77777777" w:rsidR="008663F4" w:rsidRDefault="008663F4" w:rsidP="006C4C35">
      <w:pPr>
        <w:numPr>
          <w:ilvl w:val="0"/>
          <w:numId w:val="6"/>
        </w:numPr>
        <w:rPr>
          <w:rFonts w:eastAsia="Calibri"/>
        </w:rPr>
      </w:pPr>
      <w:r w:rsidRPr="008663F4">
        <w:rPr>
          <w:rFonts w:eastAsia="Calibri"/>
          <w:b/>
        </w:rPr>
        <w:t>Communal Areas –</w:t>
      </w:r>
      <w:r w:rsidRPr="008663F4">
        <w:rPr>
          <w:rFonts w:eastAsia="Calibri"/>
        </w:rPr>
        <w:t xml:space="preserve"> One off £100k – additional works for pre paint repairs and decoration in respect of communal areas in </w:t>
      </w:r>
      <w:proofErr w:type="gramStart"/>
      <w:r w:rsidRPr="008663F4">
        <w:rPr>
          <w:rFonts w:eastAsia="Calibri"/>
        </w:rPr>
        <w:t>flats .</w:t>
      </w:r>
      <w:proofErr w:type="gramEnd"/>
    </w:p>
    <w:p w14:paraId="495D6E50" w14:textId="77777777" w:rsidR="006A5A42" w:rsidRPr="00894B8A" w:rsidRDefault="006A5A42" w:rsidP="006A5A42">
      <w:pPr>
        <w:rPr>
          <w:rFonts w:eastAsia="Calibri" w:cs="Arial"/>
          <w:highlight w:val="yellow"/>
        </w:rPr>
      </w:pPr>
    </w:p>
    <w:p w14:paraId="205DC0EA" w14:textId="77777777" w:rsidR="00CB1092" w:rsidRPr="008D6AFC" w:rsidRDefault="00CB1092" w:rsidP="008D6AFC">
      <w:pPr>
        <w:spacing w:before="240" w:after="120"/>
        <w:outlineLvl w:val="0"/>
        <w:rPr>
          <w:b/>
          <w:color w:val="000000"/>
          <w:lang w:eastAsia="en-GB"/>
        </w:rPr>
      </w:pPr>
      <w:r w:rsidRPr="008D6AFC">
        <w:rPr>
          <w:b/>
          <w:color w:val="000000"/>
          <w:lang w:eastAsia="en-GB"/>
        </w:rPr>
        <w:t>Housing Revenue Account Budget 201</w:t>
      </w:r>
      <w:r w:rsidR="004556B8" w:rsidRPr="008D6AFC">
        <w:rPr>
          <w:b/>
          <w:color w:val="000000"/>
          <w:lang w:eastAsia="en-GB"/>
        </w:rPr>
        <w:t>8</w:t>
      </w:r>
      <w:r w:rsidRPr="008D6AFC">
        <w:rPr>
          <w:b/>
          <w:color w:val="000000"/>
          <w:lang w:eastAsia="en-GB"/>
        </w:rPr>
        <w:t>/1</w:t>
      </w:r>
      <w:r w:rsidR="004556B8" w:rsidRPr="008D6AFC">
        <w:rPr>
          <w:b/>
          <w:color w:val="000000"/>
          <w:lang w:eastAsia="en-GB"/>
        </w:rPr>
        <w:t>9</w:t>
      </w:r>
      <w:r w:rsidRPr="008D6AFC">
        <w:rPr>
          <w:b/>
          <w:color w:val="000000"/>
          <w:lang w:eastAsia="en-GB"/>
        </w:rPr>
        <w:t xml:space="preserve"> to 20</w:t>
      </w:r>
      <w:r w:rsidR="00453999" w:rsidRPr="008D6AFC">
        <w:rPr>
          <w:b/>
          <w:color w:val="000000"/>
          <w:lang w:eastAsia="en-GB"/>
        </w:rPr>
        <w:t>2</w:t>
      </w:r>
      <w:r w:rsidR="004556B8" w:rsidRPr="008D6AFC">
        <w:rPr>
          <w:b/>
          <w:color w:val="000000"/>
          <w:lang w:eastAsia="en-GB"/>
        </w:rPr>
        <w:t>1</w:t>
      </w:r>
      <w:r w:rsidRPr="008D6AFC">
        <w:rPr>
          <w:b/>
          <w:color w:val="000000"/>
          <w:lang w:eastAsia="en-GB"/>
        </w:rPr>
        <w:t>/</w:t>
      </w:r>
      <w:r w:rsidR="00D06890" w:rsidRPr="008D6AFC">
        <w:rPr>
          <w:b/>
          <w:color w:val="000000"/>
          <w:lang w:eastAsia="en-GB"/>
        </w:rPr>
        <w:t>2</w:t>
      </w:r>
      <w:r w:rsidR="004556B8" w:rsidRPr="008D6AFC">
        <w:rPr>
          <w:b/>
          <w:color w:val="000000"/>
          <w:lang w:eastAsia="en-GB"/>
        </w:rPr>
        <w:t>2</w:t>
      </w:r>
    </w:p>
    <w:p w14:paraId="47BEA048" w14:textId="77777777" w:rsidR="00583D9F" w:rsidRPr="004556B8" w:rsidRDefault="00583D9F" w:rsidP="002B7914">
      <w:pPr>
        <w:autoSpaceDE w:val="0"/>
        <w:autoSpaceDN w:val="0"/>
        <w:adjustRightInd w:val="0"/>
        <w:ind w:left="567" w:right="380" w:hanging="567"/>
        <w:jc w:val="both"/>
        <w:rPr>
          <w:rFonts w:cs="Arial"/>
        </w:rPr>
      </w:pPr>
    </w:p>
    <w:p w14:paraId="66C993AB" w14:textId="5B9EDEC4" w:rsidR="00C4417B" w:rsidRDefault="00390239" w:rsidP="008D6AFC">
      <w:pPr>
        <w:autoSpaceDE w:val="0"/>
        <w:autoSpaceDN w:val="0"/>
        <w:adjustRightInd w:val="0"/>
        <w:ind w:left="567" w:right="380" w:hanging="567"/>
        <w:jc w:val="both"/>
        <w:rPr>
          <w:rFonts w:cs="Arial"/>
        </w:rPr>
      </w:pPr>
      <w:r>
        <w:rPr>
          <w:rFonts w:cs="Arial"/>
        </w:rPr>
        <w:t>68</w:t>
      </w:r>
      <w:r w:rsidR="002507A0" w:rsidRPr="004556B8">
        <w:rPr>
          <w:rFonts w:cs="Arial"/>
        </w:rPr>
        <w:tab/>
      </w:r>
      <w:r w:rsidR="00CB1092" w:rsidRPr="004556B8">
        <w:rPr>
          <w:rFonts w:cs="Arial"/>
        </w:rPr>
        <w:t xml:space="preserve">Appendix </w:t>
      </w:r>
      <w:r w:rsidR="007E18CF" w:rsidRPr="004556B8">
        <w:rPr>
          <w:rFonts w:cs="Arial"/>
        </w:rPr>
        <w:t>4</w:t>
      </w:r>
      <w:r w:rsidR="00CB1092" w:rsidRPr="004556B8">
        <w:rPr>
          <w:rFonts w:cs="Arial"/>
        </w:rPr>
        <w:t xml:space="preserve"> details the HRA Budget for the period 201</w:t>
      </w:r>
      <w:r w:rsidR="004556B8" w:rsidRPr="004556B8">
        <w:rPr>
          <w:rFonts w:cs="Arial"/>
        </w:rPr>
        <w:t>8</w:t>
      </w:r>
      <w:r w:rsidR="00CB1092" w:rsidRPr="004556B8">
        <w:rPr>
          <w:rFonts w:cs="Arial"/>
        </w:rPr>
        <w:t>/1</w:t>
      </w:r>
      <w:r w:rsidR="004556B8" w:rsidRPr="004556B8">
        <w:rPr>
          <w:rFonts w:cs="Arial"/>
        </w:rPr>
        <w:t>9</w:t>
      </w:r>
      <w:r w:rsidR="00CB1092" w:rsidRPr="004556B8">
        <w:rPr>
          <w:rFonts w:cs="Arial"/>
        </w:rPr>
        <w:t xml:space="preserve"> to 20</w:t>
      </w:r>
      <w:r w:rsidR="00453999" w:rsidRPr="004556B8">
        <w:rPr>
          <w:rFonts w:cs="Arial"/>
        </w:rPr>
        <w:t>2</w:t>
      </w:r>
      <w:r w:rsidR="004556B8" w:rsidRPr="004556B8">
        <w:rPr>
          <w:rFonts w:cs="Arial"/>
        </w:rPr>
        <w:t>1</w:t>
      </w:r>
      <w:r w:rsidR="00CB1092" w:rsidRPr="004556B8">
        <w:rPr>
          <w:rFonts w:cs="Arial"/>
        </w:rPr>
        <w:t>/</w:t>
      </w:r>
      <w:r w:rsidR="001447C4" w:rsidRPr="004556B8">
        <w:rPr>
          <w:rFonts w:cs="Arial"/>
        </w:rPr>
        <w:t>2</w:t>
      </w:r>
      <w:r w:rsidR="004556B8" w:rsidRPr="004556B8">
        <w:rPr>
          <w:rFonts w:cs="Arial"/>
        </w:rPr>
        <w:t>2</w:t>
      </w:r>
      <w:r w:rsidR="00CB1092" w:rsidRPr="004556B8">
        <w:rPr>
          <w:rFonts w:cs="Arial"/>
        </w:rPr>
        <w:t xml:space="preserve"> </w:t>
      </w:r>
      <w:r w:rsidR="00921B4B" w:rsidRPr="004556B8">
        <w:rPr>
          <w:rFonts w:cs="Arial"/>
        </w:rPr>
        <w:t xml:space="preserve">which </w:t>
      </w:r>
      <w:r w:rsidR="00CB1092" w:rsidRPr="004556B8">
        <w:rPr>
          <w:rFonts w:cs="Arial"/>
        </w:rPr>
        <w:t>is summarised below:</w:t>
      </w:r>
    </w:p>
    <w:p w14:paraId="5E32ED3F" w14:textId="77777777" w:rsidR="00D52114" w:rsidRPr="004556B8" w:rsidRDefault="00D52114" w:rsidP="00CE3A3C">
      <w:pPr>
        <w:autoSpaceDE w:val="0"/>
        <w:autoSpaceDN w:val="0"/>
        <w:adjustRightInd w:val="0"/>
        <w:ind w:right="380"/>
        <w:jc w:val="both"/>
        <w:rPr>
          <w:rFonts w:cs="Arial"/>
        </w:rPr>
      </w:pP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240"/>
        <w:gridCol w:w="1240"/>
        <w:gridCol w:w="1240"/>
        <w:gridCol w:w="1240"/>
      </w:tblGrid>
      <w:tr w:rsidR="004556B8" w:rsidRPr="004556B8" w14:paraId="76AED978" w14:textId="77777777" w:rsidTr="00A67859">
        <w:trPr>
          <w:trHeight w:val="300"/>
        </w:trPr>
        <w:tc>
          <w:tcPr>
            <w:tcW w:w="4420" w:type="dxa"/>
            <w:shd w:val="clear" w:color="auto" w:fill="BFBFBF"/>
            <w:noWrap/>
            <w:vAlign w:val="bottom"/>
          </w:tcPr>
          <w:p w14:paraId="62C479D4" w14:textId="77777777" w:rsidR="004556B8" w:rsidRPr="004556B8" w:rsidRDefault="004556B8" w:rsidP="00662880">
            <w:pPr>
              <w:rPr>
                <w:rFonts w:cs="Arial"/>
                <w:b/>
                <w:bCs/>
                <w:color w:val="000000"/>
                <w:sz w:val="22"/>
                <w:szCs w:val="22"/>
                <w:lang w:eastAsia="en-GB"/>
              </w:rPr>
            </w:pPr>
          </w:p>
        </w:tc>
        <w:tc>
          <w:tcPr>
            <w:tcW w:w="1240" w:type="dxa"/>
            <w:shd w:val="clear" w:color="auto" w:fill="BFBFBF"/>
            <w:noWrap/>
            <w:vAlign w:val="bottom"/>
            <w:hideMark/>
          </w:tcPr>
          <w:p w14:paraId="2682A218" w14:textId="77777777" w:rsidR="004556B8" w:rsidRPr="004556B8" w:rsidRDefault="004556B8" w:rsidP="00453999">
            <w:pPr>
              <w:jc w:val="right"/>
              <w:rPr>
                <w:rFonts w:cs="Arial"/>
                <w:b/>
                <w:bCs/>
                <w:sz w:val="22"/>
                <w:szCs w:val="22"/>
                <w:lang w:eastAsia="en-GB"/>
              </w:rPr>
            </w:pPr>
            <w:r w:rsidRPr="004556B8">
              <w:rPr>
                <w:rFonts w:cs="Arial"/>
                <w:b/>
                <w:color w:val="000000"/>
                <w:sz w:val="22"/>
                <w:szCs w:val="22"/>
                <w:lang w:eastAsia="en-GB"/>
              </w:rPr>
              <w:t>2018/19 </w:t>
            </w:r>
          </w:p>
        </w:tc>
        <w:tc>
          <w:tcPr>
            <w:tcW w:w="1240" w:type="dxa"/>
            <w:shd w:val="clear" w:color="auto" w:fill="BFBFBF"/>
            <w:noWrap/>
            <w:vAlign w:val="bottom"/>
            <w:hideMark/>
          </w:tcPr>
          <w:p w14:paraId="7C9131A8" w14:textId="77777777" w:rsidR="004556B8" w:rsidRPr="004556B8" w:rsidRDefault="004556B8" w:rsidP="00453999">
            <w:pPr>
              <w:jc w:val="right"/>
              <w:rPr>
                <w:rFonts w:cs="Arial"/>
                <w:b/>
                <w:color w:val="000000"/>
                <w:sz w:val="22"/>
                <w:szCs w:val="22"/>
                <w:lang w:eastAsia="en-GB"/>
              </w:rPr>
            </w:pPr>
            <w:r w:rsidRPr="004556B8">
              <w:rPr>
                <w:rFonts w:cs="Arial"/>
                <w:b/>
                <w:color w:val="000000"/>
                <w:sz w:val="22"/>
                <w:szCs w:val="22"/>
                <w:lang w:eastAsia="en-GB"/>
              </w:rPr>
              <w:t>2019/20 </w:t>
            </w:r>
          </w:p>
        </w:tc>
        <w:tc>
          <w:tcPr>
            <w:tcW w:w="1240" w:type="dxa"/>
            <w:shd w:val="clear" w:color="auto" w:fill="BFBFBF"/>
            <w:noWrap/>
            <w:vAlign w:val="bottom"/>
            <w:hideMark/>
          </w:tcPr>
          <w:p w14:paraId="692AEA0C" w14:textId="77777777" w:rsidR="004556B8" w:rsidRPr="004556B8" w:rsidRDefault="004556B8" w:rsidP="00453999">
            <w:pPr>
              <w:jc w:val="right"/>
              <w:rPr>
                <w:rFonts w:cs="Arial"/>
                <w:b/>
                <w:color w:val="000000"/>
                <w:sz w:val="22"/>
                <w:szCs w:val="22"/>
                <w:lang w:eastAsia="en-GB"/>
              </w:rPr>
            </w:pPr>
            <w:r w:rsidRPr="004556B8">
              <w:rPr>
                <w:rFonts w:cs="Arial"/>
                <w:b/>
                <w:color w:val="000000"/>
                <w:sz w:val="22"/>
                <w:szCs w:val="22"/>
                <w:lang w:eastAsia="en-GB"/>
              </w:rPr>
              <w:t>2020/21 </w:t>
            </w:r>
          </w:p>
        </w:tc>
        <w:tc>
          <w:tcPr>
            <w:tcW w:w="1240" w:type="dxa"/>
            <w:shd w:val="clear" w:color="auto" w:fill="BFBFBF"/>
            <w:noWrap/>
            <w:vAlign w:val="bottom"/>
            <w:hideMark/>
          </w:tcPr>
          <w:p w14:paraId="2E61BD7B" w14:textId="77777777" w:rsidR="004556B8" w:rsidRPr="004556B8" w:rsidRDefault="004556B8" w:rsidP="004556B8">
            <w:pPr>
              <w:jc w:val="right"/>
              <w:rPr>
                <w:rFonts w:cs="Arial"/>
                <w:b/>
                <w:color w:val="000000"/>
                <w:sz w:val="22"/>
                <w:szCs w:val="22"/>
                <w:lang w:eastAsia="en-GB"/>
              </w:rPr>
            </w:pPr>
            <w:r w:rsidRPr="004556B8">
              <w:rPr>
                <w:rFonts w:cs="Arial"/>
                <w:b/>
                <w:color w:val="000000"/>
                <w:sz w:val="22"/>
                <w:szCs w:val="22"/>
                <w:lang w:eastAsia="en-GB"/>
              </w:rPr>
              <w:t>2021/22 </w:t>
            </w:r>
          </w:p>
        </w:tc>
      </w:tr>
      <w:tr w:rsidR="004556B8" w:rsidRPr="004556B8" w14:paraId="5B5F641E" w14:textId="77777777" w:rsidTr="00A67859">
        <w:trPr>
          <w:trHeight w:val="300"/>
        </w:trPr>
        <w:tc>
          <w:tcPr>
            <w:tcW w:w="4420" w:type="dxa"/>
            <w:shd w:val="clear" w:color="auto" w:fill="BFBFBF"/>
            <w:noWrap/>
            <w:vAlign w:val="bottom"/>
            <w:hideMark/>
          </w:tcPr>
          <w:p w14:paraId="2CD9BCDE" w14:textId="77777777" w:rsidR="004556B8" w:rsidRPr="004556B8" w:rsidRDefault="008E66A7" w:rsidP="00A02588">
            <w:pPr>
              <w:rPr>
                <w:rFonts w:cs="Arial"/>
                <w:b/>
                <w:bCs/>
                <w:color w:val="000000"/>
                <w:sz w:val="22"/>
                <w:szCs w:val="22"/>
                <w:lang w:eastAsia="en-GB"/>
              </w:rPr>
            </w:pPr>
            <w:r>
              <w:rPr>
                <w:rFonts w:cs="Arial"/>
                <w:b/>
                <w:bCs/>
                <w:color w:val="000000"/>
                <w:sz w:val="22"/>
                <w:szCs w:val="22"/>
                <w:lang w:eastAsia="en-GB"/>
              </w:rPr>
              <w:t>TABLE 8</w:t>
            </w:r>
            <w:r w:rsidR="004556B8" w:rsidRPr="004556B8">
              <w:rPr>
                <w:rFonts w:cs="Arial"/>
                <w:b/>
                <w:bCs/>
                <w:color w:val="000000"/>
                <w:sz w:val="22"/>
                <w:szCs w:val="22"/>
                <w:lang w:eastAsia="en-GB"/>
              </w:rPr>
              <w:t xml:space="preserve"> HOUSING REVENUE ACCOUNT </w:t>
            </w:r>
          </w:p>
        </w:tc>
        <w:tc>
          <w:tcPr>
            <w:tcW w:w="1240" w:type="dxa"/>
            <w:shd w:val="clear" w:color="auto" w:fill="BFBFBF"/>
            <w:noWrap/>
            <w:vAlign w:val="bottom"/>
            <w:hideMark/>
          </w:tcPr>
          <w:p w14:paraId="382F5642" w14:textId="77777777" w:rsidR="004556B8" w:rsidRPr="004556B8" w:rsidRDefault="004556B8" w:rsidP="004668D0">
            <w:pPr>
              <w:jc w:val="right"/>
              <w:rPr>
                <w:rFonts w:cs="Arial"/>
                <w:b/>
                <w:color w:val="000000"/>
                <w:sz w:val="22"/>
                <w:szCs w:val="22"/>
                <w:lang w:eastAsia="en-GB"/>
              </w:rPr>
            </w:pPr>
            <w:r w:rsidRPr="004556B8">
              <w:rPr>
                <w:rFonts w:cs="Arial"/>
                <w:b/>
                <w:color w:val="000000"/>
                <w:sz w:val="22"/>
                <w:szCs w:val="22"/>
                <w:lang w:eastAsia="en-GB"/>
              </w:rPr>
              <w:t>£000’s </w:t>
            </w:r>
          </w:p>
        </w:tc>
        <w:tc>
          <w:tcPr>
            <w:tcW w:w="1240" w:type="dxa"/>
            <w:shd w:val="clear" w:color="auto" w:fill="BFBFBF"/>
            <w:noWrap/>
            <w:vAlign w:val="bottom"/>
            <w:hideMark/>
          </w:tcPr>
          <w:p w14:paraId="0B0CF201" w14:textId="77777777" w:rsidR="004556B8" w:rsidRPr="004556B8" w:rsidRDefault="004556B8" w:rsidP="004668D0">
            <w:pPr>
              <w:jc w:val="right"/>
              <w:rPr>
                <w:rFonts w:cs="Arial"/>
                <w:color w:val="000000"/>
                <w:sz w:val="22"/>
                <w:szCs w:val="22"/>
                <w:lang w:eastAsia="en-GB"/>
              </w:rPr>
            </w:pPr>
            <w:r w:rsidRPr="004556B8">
              <w:rPr>
                <w:rFonts w:cs="Arial"/>
                <w:b/>
                <w:color w:val="000000"/>
                <w:sz w:val="22"/>
                <w:szCs w:val="22"/>
                <w:lang w:eastAsia="en-GB"/>
              </w:rPr>
              <w:t>£000’s</w:t>
            </w:r>
            <w:r w:rsidRPr="004556B8">
              <w:rPr>
                <w:rFonts w:cs="Arial"/>
                <w:color w:val="000000"/>
                <w:sz w:val="22"/>
                <w:szCs w:val="22"/>
                <w:lang w:eastAsia="en-GB"/>
              </w:rPr>
              <w:t> </w:t>
            </w:r>
          </w:p>
        </w:tc>
        <w:tc>
          <w:tcPr>
            <w:tcW w:w="1240" w:type="dxa"/>
            <w:shd w:val="clear" w:color="auto" w:fill="BFBFBF"/>
            <w:noWrap/>
            <w:vAlign w:val="bottom"/>
            <w:hideMark/>
          </w:tcPr>
          <w:p w14:paraId="0AACC38B" w14:textId="77777777" w:rsidR="004556B8" w:rsidRPr="004556B8" w:rsidRDefault="004556B8" w:rsidP="004668D0">
            <w:pPr>
              <w:jc w:val="right"/>
              <w:rPr>
                <w:rFonts w:cs="Arial"/>
                <w:color w:val="000000"/>
                <w:sz w:val="22"/>
                <w:szCs w:val="22"/>
                <w:lang w:eastAsia="en-GB"/>
              </w:rPr>
            </w:pPr>
            <w:r w:rsidRPr="004556B8">
              <w:rPr>
                <w:rFonts w:cs="Arial"/>
                <w:b/>
                <w:color w:val="000000"/>
                <w:sz w:val="22"/>
                <w:szCs w:val="22"/>
                <w:lang w:eastAsia="en-GB"/>
              </w:rPr>
              <w:t>£000’s</w:t>
            </w:r>
            <w:r w:rsidRPr="004556B8">
              <w:rPr>
                <w:rFonts w:cs="Arial"/>
                <w:color w:val="000000"/>
                <w:sz w:val="22"/>
                <w:szCs w:val="22"/>
                <w:lang w:eastAsia="en-GB"/>
              </w:rPr>
              <w:t> </w:t>
            </w:r>
          </w:p>
        </w:tc>
        <w:tc>
          <w:tcPr>
            <w:tcW w:w="1240" w:type="dxa"/>
            <w:shd w:val="clear" w:color="auto" w:fill="BFBFBF"/>
            <w:noWrap/>
            <w:vAlign w:val="bottom"/>
            <w:hideMark/>
          </w:tcPr>
          <w:p w14:paraId="20D6614C" w14:textId="77777777" w:rsidR="004556B8" w:rsidRPr="004556B8" w:rsidRDefault="004556B8" w:rsidP="004668D0">
            <w:pPr>
              <w:jc w:val="right"/>
              <w:rPr>
                <w:rFonts w:cs="Arial"/>
                <w:color w:val="000000"/>
                <w:sz w:val="22"/>
                <w:szCs w:val="22"/>
                <w:lang w:eastAsia="en-GB"/>
              </w:rPr>
            </w:pPr>
            <w:r w:rsidRPr="004556B8">
              <w:rPr>
                <w:rFonts w:cs="Arial"/>
                <w:b/>
                <w:color w:val="000000"/>
                <w:sz w:val="22"/>
                <w:szCs w:val="22"/>
                <w:lang w:eastAsia="en-GB"/>
              </w:rPr>
              <w:t>£000’s</w:t>
            </w:r>
            <w:r w:rsidRPr="004556B8">
              <w:rPr>
                <w:rFonts w:cs="Arial"/>
                <w:color w:val="000000"/>
                <w:sz w:val="22"/>
                <w:szCs w:val="22"/>
                <w:lang w:eastAsia="en-GB"/>
              </w:rPr>
              <w:t> </w:t>
            </w:r>
          </w:p>
        </w:tc>
      </w:tr>
      <w:tr w:rsidR="004556B8" w:rsidRPr="004556B8" w14:paraId="2A870FA7" w14:textId="77777777" w:rsidTr="004668D0">
        <w:trPr>
          <w:trHeight w:val="300"/>
        </w:trPr>
        <w:tc>
          <w:tcPr>
            <w:tcW w:w="4420" w:type="dxa"/>
            <w:shd w:val="clear" w:color="000000" w:fill="FFFFFF"/>
            <w:noWrap/>
            <w:vAlign w:val="bottom"/>
            <w:hideMark/>
          </w:tcPr>
          <w:p w14:paraId="7590C5FC" w14:textId="77777777" w:rsidR="004556B8" w:rsidRPr="004556B8" w:rsidRDefault="004556B8" w:rsidP="00662880">
            <w:pPr>
              <w:rPr>
                <w:rFonts w:cs="Arial"/>
                <w:b/>
                <w:bCs/>
                <w:color w:val="000000"/>
                <w:sz w:val="22"/>
                <w:szCs w:val="22"/>
                <w:lang w:eastAsia="en-GB"/>
              </w:rPr>
            </w:pPr>
          </w:p>
        </w:tc>
        <w:tc>
          <w:tcPr>
            <w:tcW w:w="1240" w:type="dxa"/>
            <w:shd w:val="clear" w:color="000000" w:fill="FFFFFF"/>
            <w:noWrap/>
            <w:vAlign w:val="bottom"/>
            <w:hideMark/>
          </w:tcPr>
          <w:p w14:paraId="4E0854C0" w14:textId="77777777" w:rsidR="004556B8" w:rsidRPr="004556B8" w:rsidRDefault="004556B8" w:rsidP="004668D0">
            <w:pPr>
              <w:jc w:val="right"/>
              <w:rPr>
                <w:rFonts w:cs="Arial"/>
                <w:color w:val="000000"/>
                <w:sz w:val="22"/>
                <w:szCs w:val="22"/>
                <w:lang w:eastAsia="en-GB"/>
              </w:rPr>
            </w:pPr>
            <w:r w:rsidRPr="004556B8">
              <w:rPr>
                <w:rFonts w:cs="Arial"/>
                <w:color w:val="000000"/>
                <w:sz w:val="22"/>
                <w:szCs w:val="22"/>
                <w:lang w:eastAsia="en-GB"/>
              </w:rPr>
              <w:t> </w:t>
            </w:r>
          </w:p>
        </w:tc>
        <w:tc>
          <w:tcPr>
            <w:tcW w:w="1240" w:type="dxa"/>
            <w:shd w:val="clear" w:color="000000" w:fill="FFFFFF"/>
            <w:noWrap/>
            <w:vAlign w:val="bottom"/>
            <w:hideMark/>
          </w:tcPr>
          <w:p w14:paraId="30A81B7F" w14:textId="77777777" w:rsidR="004556B8" w:rsidRPr="004556B8" w:rsidRDefault="004556B8" w:rsidP="004668D0">
            <w:pPr>
              <w:jc w:val="right"/>
              <w:rPr>
                <w:rFonts w:cs="Arial"/>
                <w:color w:val="000000"/>
                <w:sz w:val="22"/>
                <w:szCs w:val="22"/>
                <w:lang w:eastAsia="en-GB"/>
              </w:rPr>
            </w:pPr>
            <w:r w:rsidRPr="004556B8">
              <w:rPr>
                <w:rFonts w:cs="Arial"/>
                <w:color w:val="000000"/>
                <w:sz w:val="22"/>
                <w:szCs w:val="22"/>
                <w:lang w:eastAsia="en-GB"/>
              </w:rPr>
              <w:t> </w:t>
            </w:r>
          </w:p>
        </w:tc>
        <w:tc>
          <w:tcPr>
            <w:tcW w:w="1240" w:type="dxa"/>
            <w:shd w:val="clear" w:color="000000" w:fill="FFFFFF"/>
            <w:noWrap/>
            <w:vAlign w:val="bottom"/>
            <w:hideMark/>
          </w:tcPr>
          <w:p w14:paraId="3C33B77F" w14:textId="77777777" w:rsidR="004556B8" w:rsidRPr="004556B8" w:rsidRDefault="004556B8" w:rsidP="004668D0">
            <w:pPr>
              <w:jc w:val="right"/>
              <w:rPr>
                <w:rFonts w:cs="Arial"/>
                <w:color w:val="000000"/>
                <w:sz w:val="22"/>
                <w:szCs w:val="22"/>
                <w:lang w:eastAsia="en-GB"/>
              </w:rPr>
            </w:pPr>
            <w:r w:rsidRPr="004556B8">
              <w:rPr>
                <w:rFonts w:cs="Arial"/>
                <w:color w:val="000000"/>
                <w:sz w:val="22"/>
                <w:szCs w:val="22"/>
                <w:lang w:eastAsia="en-GB"/>
              </w:rPr>
              <w:t> </w:t>
            </w:r>
          </w:p>
        </w:tc>
        <w:tc>
          <w:tcPr>
            <w:tcW w:w="1240" w:type="dxa"/>
            <w:shd w:val="clear" w:color="000000" w:fill="FFFFFF"/>
            <w:noWrap/>
            <w:vAlign w:val="bottom"/>
            <w:hideMark/>
          </w:tcPr>
          <w:p w14:paraId="27134D3E" w14:textId="77777777" w:rsidR="004556B8" w:rsidRPr="004556B8" w:rsidRDefault="004556B8" w:rsidP="004668D0">
            <w:pPr>
              <w:jc w:val="right"/>
              <w:rPr>
                <w:rFonts w:cs="Arial"/>
                <w:color w:val="000000"/>
                <w:sz w:val="22"/>
                <w:szCs w:val="22"/>
                <w:lang w:eastAsia="en-GB"/>
              </w:rPr>
            </w:pPr>
            <w:r w:rsidRPr="004556B8">
              <w:rPr>
                <w:rFonts w:cs="Arial"/>
                <w:color w:val="000000"/>
                <w:sz w:val="22"/>
                <w:szCs w:val="22"/>
                <w:lang w:eastAsia="en-GB"/>
              </w:rPr>
              <w:t> </w:t>
            </w:r>
          </w:p>
        </w:tc>
      </w:tr>
      <w:tr w:rsidR="004556B8" w:rsidRPr="004556B8" w14:paraId="7C5C1A0F" w14:textId="77777777" w:rsidTr="00453999">
        <w:trPr>
          <w:trHeight w:val="300"/>
        </w:trPr>
        <w:tc>
          <w:tcPr>
            <w:tcW w:w="4420" w:type="dxa"/>
            <w:shd w:val="clear" w:color="000000" w:fill="FFFFFF"/>
            <w:noWrap/>
            <w:vAlign w:val="bottom"/>
            <w:hideMark/>
          </w:tcPr>
          <w:p w14:paraId="1A704220" w14:textId="77777777" w:rsidR="004556B8" w:rsidRPr="004556B8" w:rsidRDefault="004556B8" w:rsidP="00662880">
            <w:pPr>
              <w:rPr>
                <w:rFonts w:cs="Arial"/>
                <w:color w:val="000000"/>
                <w:sz w:val="22"/>
                <w:szCs w:val="22"/>
                <w:lang w:eastAsia="en-GB"/>
              </w:rPr>
            </w:pPr>
            <w:r w:rsidRPr="004556B8">
              <w:rPr>
                <w:rFonts w:cs="Arial"/>
                <w:color w:val="000000"/>
                <w:sz w:val="22"/>
                <w:szCs w:val="22"/>
                <w:lang w:eastAsia="en-GB"/>
              </w:rPr>
              <w:t> Income</w:t>
            </w:r>
          </w:p>
        </w:tc>
        <w:tc>
          <w:tcPr>
            <w:tcW w:w="1240" w:type="dxa"/>
            <w:shd w:val="clear" w:color="000000" w:fill="FFFFFF"/>
            <w:noWrap/>
            <w:vAlign w:val="bottom"/>
          </w:tcPr>
          <w:p w14:paraId="5FA591E7" w14:textId="77777777" w:rsidR="004556B8" w:rsidRPr="004556B8" w:rsidRDefault="004556B8" w:rsidP="004556B8">
            <w:pPr>
              <w:jc w:val="right"/>
              <w:rPr>
                <w:rFonts w:cs="Arial"/>
                <w:color w:val="000000"/>
                <w:sz w:val="22"/>
                <w:szCs w:val="22"/>
                <w:lang w:eastAsia="en-GB"/>
              </w:rPr>
            </w:pPr>
            <w:r w:rsidRPr="004556B8">
              <w:rPr>
                <w:rFonts w:cs="Arial"/>
                <w:color w:val="000000"/>
                <w:sz w:val="22"/>
                <w:szCs w:val="22"/>
                <w:lang w:eastAsia="en-GB"/>
              </w:rPr>
              <w:t>(43,241)</w:t>
            </w:r>
          </w:p>
        </w:tc>
        <w:tc>
          <w:tcPr>
            <w:tcW w:w="1240" w:type="dxa"/>
            <w:shd w:val="clear" w:color="000000" w:fill="FFFFFF"/>
            <w:noWrap/>
            <w:vAlign w:val="bottom"/>
          </w:tcPr>
          <w:p w14:paraId="6DDB214F" w14:textId="77777777" w:rsidR="004556B8" w:rsidRPr="004556B8" w:rsidRDefault="004556B8" w:rsidP="004556B8">
            <w:pPr>
              <w:jc w:val="right"/>
              <w:rPr>
                <w:rFonts w:cs="Arial"/>
                <w:color w:val="000000"/>
                <w:sz w:val="22"/>
                <w:szCs w:val="22"/>
                <w:lang w:eastAsia="en-GB"/>
              </w:rPr>
            </w:pPr>
            <w:r w:rsidRPr="004556B8">
              <w:rPr>
                <w:rFonts w:cs="Arial"/>
                <w:color w:val="000000"/>
                <w:sz w:val="22"/>
                <w:szCs w:val="22"/>
                <w:lang w:eastAsia="en-GB"/>
              </w:rPr>
              <w:t>(43,492)</w:t>
            </w:r>
          </w:p>
        </w:tc>
        <w:tc>
          <w:tcPr>
            <w:tcW w:w="1240" w:type="dxa"/>
            <w:shd w:val="clear" w:color="000000" w:fill="FFFFFF"/>
            <w:noWrap/>
            <w:vAlign w:val="bottom"/>
          </w:tcPr>
          <w:p w14:paraId="0A99BE1A" w14:textId="77777777" w:rsidR="004556B8" w:rsidRPr="004556B8" w:rsidRDefault="004556B8" w:rsidP="004556B8">
            <w:pPr>
              <w:jc w:val="right"/>
              <w:rPr>
                <w:rFonts w:cs="Arial"/>
                <w:color w:val="000000"/>
                <w:sz w:val="22"/>
                <w:szCs w:val="22"/>
                <w:lang w:eastAsia="en-GB"/>
              </w:rPr>
            </w:pPr>
            <w:r w:rsidRPr="004556B8">
              <w:rPr>
                <w:rFonts w:cs="Arial"/>
                <w:color w:val="000000"/>
                <w:sz w:val="22"/>
                <w:szCs w:val="22"/>
                <w:lang w:eastAsia="en-GB"/>
              </w:rPr>
              <w:t>(44,107)</w:t>
            </w:r>
          </w:p>
        </w:tc>
        <w:tc>
          <w:tcPr>
            <w:tcW w:w="1240" w:type="dxa"/>
            <w:shd w:val="clear" w:color="000000" w:fill="FFFFFF"/>
            <w:noWrap/>
            <w:vAlign w:val="bottom"/>
          </w:tcPr>
          <w:p w14:paraId="471E9C39" w14:textId="77777777" w:rsidR="004556B8" w:rsidRPr="004556B8" w:rsidRDefault="004556B8" w:rsidP="004556B8">
            <w:pPr>
              <w:jc w:val="right"/>
              <w:rPr>
                <w:rFonts w:cs="Arial"/>
                <w:color w:val="000000"/>
                <w:sz w:val="22"/>
                <w:szCs w:val="22"/>
                <w:lang w:eastAsia="en-GB"/>
              </w:rPr>
            </w:pPr>
            <w:r w:rsidRPr="004556B8">
              <w:rPr>
                <w:rFonts w:cs="Arial"/>
                <w:color w:val="000000"/>
                <w:sz w:val="22"/>
                <w:szCs w:val="22"/>
                <w:lang w:eastAsia="en-GB"/>
              </w:rPr>
              <w:t>(45,498)</w:t>
            </w:r>
          </w:p>
        </w:tc>
      </w:tr>
      <w:tr w:rsidR="004556B8" w:rsidRPr="004556B8" w14:paraId="6036E11B" w14:textId="77777777" w:rsidTr="004668D0">
        <w:trPr>
          <w:trHeight w:val="288"/>
        </w:trPr>
        <w:tc>
          <w:tcPr>
            <w:tcW w:w="4420" w:type="dxa"/>
            <w:tcBorders>
              <w:bottom w:val="single" w:sz="4" w:space="0" w:color="auto"/>
            </w:tcBorders>
            <w:shd w:val="clear" w:color="auto" w:fill="auto"/>
            <w:noWrap/>
            <w:vAlign w:val="bottom"/>
          </w:tcPr>
          <w:p w14:paraId="7460AC1B" w14:textId="77777777" w:rsidR="004556B8" w:rsidRPr="004556B8" w:rsidRDefault="004556B8" w:rsidP="00662880">
            <w:pPr>
              <w:rPr>
                <w:rFonts w:cs="Arial"/>
                <w:color w:val="000000"/>
                <w:sz w:val="22"/>
                <w:szCs w:val="22"/>
                <w:lang w:eastAsia="en-GB"/>
              </w:rPr>
            </w:pPr>
            <w:r w:rsidRPr="004556B8">
              <w:rPr>
                <w:rFonts w:cs="Arial"/>
                <w:color w:val="000000"/>
                <w:sz w:val="22"/>
                <w:szCs w:val="22"/>
                <w:lang w:eastAsia="en-GB"/>
              </w:rPr>
              <w:t>Expenditure</w:t>
            </w:r>
          </w:p>
        </w:tc>
        <w:tc>
          <w:tcPr>
            <w:tcW w:w="1240" w:type="dxa"/>
            <w:tcBorders>
              <w:bottom w:val="single" w:sz="4" w:space="0" w:color="auto"/>
            </w:tcBorders>
            <w:shd w:val="clear" w:color="auto" w:fill="auto"/>
            <w:noWrap/>
            <w:vAlign w:val="bottom"/>
          </w:tcPr>
          <w:p w14:paraId="3BB76EFC" w14:textId="77777777" w:rsidR="004556B8" w:rsidRPr="004556B8" w:rsidRDefault="004556B8" w:rsidP="005B1F8F">
            <w:pPr>
              <w:jc w:val="right"/>
              <w:rPr>
                <w:sz w:val="22"/>
                <w:szCs w:val="22"/>
                <w:lang w:eastAsia="en-GB"/>
              </w:rPr>
            </w:pPr>
            <w:r w:rsidRPr="004556B8">
              <w:rPr>
                <w:sz w:val="22"/>
                <w:szCs w:val="22"/>
                <w:lang w:eastAsia="en-GB"/>
              </w:rPr>
              <w:t>4</w:t>
            </w:r>
            <w:r w:rsidR="00C4417B">
              <w:rPr>
                <w:sz w:val="22"/>
                <w:szCs w:val="22"/>
                <w:lang w:eastAsia="en-GB"/>
              </w:rPr>
              <w:t>2</w:t>
            </w:r>
            <w:r w:rsidRPr="004556B8">
              <w:rPr>
                <w:sz w:val="22"/>
                <w:szCs w:val="22"/>
                <w:lang w:eastAsia="en-GB"/>
              </w:rPr>
              <w:t>,</w:t>
            </w:r>
            <w:r w:rsidR="00C4417B">
              <w:rPr>
                <w:sz w:val="22"/>
                <w:szCs w:val="22"/>
                <w:lang w:eastAsia="en-GB"/>
              </w:rPr>
              <w:t>0</w:t>
            </w:r>
            <w:r w:rsidR="005B1F8F">
              <w:rPr>
                <w:sz w:val="22"/>
                <w:szCs w:val="22"/>
                <w:lang w:eastAsia="en-GB"/>
              </w:rPr>
              <w:t>73</w:t>
            </w:r>
          </w:p>
        </w:tc>
        <w:tc>
          <w:tcPr>
            <w:tcW w:w="1240" w:type="dxa"/>
            <w:tcBorders>
              <w:bottom w:val="single" w:sz="4" w:space="0" w:color="auto"/>
            </w:tcBorders>
            <w:shd w:val="clear" w:color="auto" w:fill="auto"/>
            <w:noWrap/>
            <w:vAlign w:val="bottom"/>
          </w:tcPr>
          <w:p w14:paraId="07299809" w14:textId="77777777" w:rsidR="004556B8" w:rsidRPr="004556B8" w:rsidRDefault="004556B8" w:rsidP="005B1F8F">
            <w:pPr>
              <w:jc w:val="right"/>
              <w:rPr>
                <w:sz w:val="22"/>
                <w:szCs w:val="22"/>
                <w:lang w:eastAsia="en-GB"/>
              </w:rPr>
            </w:pPr>
            <w:r w:rsidRPr="004556B8">
              <w:rPr>
                <w:sz w:val="22"/>
                <w:szCs w:val="22"/>
                <w:lang w:eastAsia="en-GB"/>
              </w:rPr>
              <w:t>41,</w:t>
            </w:r>
            <w:r w:rsidR="001F3A34">
              <w:rPr>
                <w:sz w:val="22"/>
                <w:szCs w:val="22"/>
                <w:lang w:eastAsia="en-GB"/>
              </w:rPr>
              <w:t>6</w:t>
            </w:r>
            <w:r w:rsidR="005B1F8F">
              <w:rPr>
                <w:sz w:val="22"/>
                <w:szCs w:val="22"/>
                <w:lang w:eastAsia="en-GB"/>
              </w:rPr>
              <w:t>89</w:t>
            </w:r>
          </w:p>
        </w:tc>
        <w:tc>
          <w:tcPr>
            <w:tcW w:w="1240" w:type="dxa"/>
            <w:tcBorders>
              <w:bottom w:val="single" w:sz="4" w:space="0" w:color="auto"/>
            </w:tcBorders>
            <w:shd w:val="clear" w:color="auto" w:fill="auto"/>
            <w:noWrap/>
            <w:vAlign w:val="bottom"/>
          </w:tcPr>
          <w:p w14:paraId="61BA469E" w14:textId="77777777" w:rsidR="004556B8" w:rsidRPr="004556B8" w:rsidRDefault="004556B8" w:rsidP="005B1F8F">
            <w:pPr>
              <w:jc w:val="right"/>
              <w:rPr>
                <w:sz w:val="22"/>
                <w:szCs w:val="22"/>
                <w:lang w:eastAsia="en-GB"/>
              </w:rPr>
            </w:pPr>
            <w:r w:rsidRPr="004556B8">
              <w:rPr>
                <w:sz w:val="22"/>
                <w:szCs w:val="22"/>
                <w:lang w:eastAsia="en-GB"/>
              </w:rPr>
              <w:t>4</w:t>
            </w:r>
            <w:r w:rsidR="00C4417B">
              <w:rPr>
                <w:sz w:val="22"/>
                <w:szCs w:val="22"/>
                <w:lang w:eastAsia="en-GB"/>
              </w:rPr>
              <w:t>2</w:t>
            </w:r>
            <w:r w:rsidRPr="004556B8">
              <w:rPr>
                <w:sz w:val="22"/>
                <w:szCs w:val="22"/>
                <w:lang w:eastAsia="en-GB"/>
              </w:rPr>
              <w:t>,</w:t>
            </w:r>
            <w:r w:rsidR="005B1F8F">
              <w:rPr>
                <w:sz w:val="22"/>
                <w:szCs w:val="22"/>
                <w:lang w:eastAsia="en-GB"/>
              </w:rPr>
              <w:t>410</w:t>
            </w:r>
          </w:p>
        </w:tc>
        <w:tc>
          <w:tcPr>
            <w:tcW w:w="1240" w:type="dxa"/>
            <w:tcBorders>
              <w:bottom w:val="single" w:sz="4" w:space="0" w:color="auto"/>
            </w:tcBorders>
            <w:shd w:val="clear" w:color="auto" w:fill="auto"/>
            <w:noWrap/>
            <w:vAlign w:val="bottom"/>
          </w:tcPr>
          <w:p w14:paraId="423401D3" w14:textId="77777777" w:rsidR="004556B8" w:rsidRPr="004556B8" w:rsidRDefault="004556B8" w:rsidP="005B1F8F">
            <w:pPr>
              <w:jc w:val="right"/>
              <w:rPr>
                <w:sz w:val="22"/>
                <w:szCs w:val="22"/>
                <w:lang w:eastAsia="en-GB"/>
              </w:rPr>
            </w:pPr>
            <w:r w:rsidRPr="004556B8">
              <w:rPr>
                <w:sz w:val="22"/>
                <w:szCs w:val="22"/>
                <w:lang w:eastAsia="en-GB"/>
              </w:rPr>
              <w:t>43,</w:t>
            </w:r>
            <w:r w:rsidR="001F3A34">
              <w:rPr>
                <w:sz w:val="22"/>
                <w:szCs w:val="22"/>
                <w:lang w:eastAsia="en-GB"/>
              </w:rPr>
              <w:t>6</w:t>
            </w:r>
            <w:r w:rsidR="005B1F8F">
              <w:rPr>
                <w:sz w:val="22"/>
                <w:szCs w:val="22"/>
                <w:lang w:eastAsia="en-GB"/>
              </w:rPr>
              <w:t>90</w:t>
            </w:r>
          </w:p>
        </w:tc>
      </w:tr>
      <w:tr w:rsidR="004556B8" w:rsidRPr="004556B8" w14:paraId="76B0594E" w14:textId="77777777" w:rsidTr="004668D0">
        <w:trPr>
          <w:trHeight w:val="288"/>
        </w:trPr>
        <w:tc>
          <w:tcPr>
            <w:tcW w:w="4420" w:type="dxa"/>
            <w:tcBorders>
              <w:top w:val="single" w:sz="4" w:space="0" w:color="auto"/>
              <w:bottom w:val="nil"/>
            </w:tcBorders>
            <w:shd w:val="clear" w:color="auto" w:fill="auto"/>
            <w:noWrap/>
            <w:vAlign w:val="bottom"/>
          </w:tcPr>
          <w:p w14:paraId="3466A067" w14:textId="77777777" w:rsidR="004556B8" w:rsidRPr="004556B8" w:rsidRDefault="004556B8" w:rsidP="00662880">
            <w:pPr>
              <w:rPr>
                <w:rFonts w:cs="Arial"/>
                <w:b/>
                <w:color w:val="000000"/>
                <w:sz w:val="22"/>
                <w:szCs w:val="22"/>
                <w:lang w:eastAsia="en-GB"/>
              </w:rPr>
            </w:pPr>
            <w:r w:rsidRPr="004556B8">
              <w:rPr>
                <w:rFonts w:cs="Arial"/>
                <w:b/>
                <w:color w:val="000000"/>
                <w:sz w:val="22"/>
                <w:szCs w:val="22"/>
                <w:lang w:eastAsia="en-GB"/>
              </w:rPr>
              <w:t>Net Operating Expenditure</w:t>
            </w:r>
          </w:p>
        </w:tc>
        <w:tc>
          <w:tcPr>
            <w:tcW w:w="1240" w:type="dxa"/>
            <w:tcBorders>
              <w:top w:val="single" w:sz="4" w:space="0" w:color="auto"/>
              <w:bottom w:val="nil"/>
            </w:tcBorders>
            <w:shd w:val="clear" w:color="auto" w:fill="auto"/>
            <w:noWrap/>
            <w:vAlign w:val="bottom"/>
          </w:tcPr>
          <w:p w14:paraId="60244FDB" w14:textId="77777777" w:rsidR="004556B8" w:rsidRPr="004556B8" w:rsidRDefault="004556B8" w:rsidP="005B1F8F">
            <w:pPr>
              <w:jc w:val="right"/>
              <w:rPr>
                <w:b/>
                <w:sz w:val="22"/>
                <w:szCs w:val="22"/>
                <w:lang w:eastAsia="en-GB"/>
              </w:rPr>
            </w:pPr>
            <w:r w:rsidRPr="004556B8">
              <w:rPr>
                <w:b/>
                <w:sz w:val="22"/>
                <w:szCs w:val="22"/>
                <w:lang w:eastAsia="en-GB"/>
              </w:rPr>
              <w:t>(1,</w:t>
            </w:r>
            <w:r w:rsidR="00C4417B">
              <w:rPr>
                <w:b/>
                <w:sz w:val="22"/>
                <w:szCs w:val="22"/>
                <w:lang w:eastAsia="en-GB"/>
              </w:rPr>
              <w:t>1</w:t>
            </w:r>
            <w:r w:rsidR="005B1F8F">
              <w:rPr>
                <w:b/>
                <w:sz w:val="22"/>
                <w:szCs w:val="22"/>
                <w:lang w:eastAsia="en-GB"/>
              </w:rPr>
              <w:t>68</w:t>
            </w:r>
            <w:r w:rsidRPr="004556B8">
              <w:rPr>
                <w:b/>
                <w:sz w:val="22"/>
                <w:szCs w:val="22"/>
                <w:lang w:eastAsia="en-GB"/>
              </w:rPr>
              <w:t>)</w:t>
            </w:r>
          </w:p>
        </w:tc>
        <w:tc>
          <w:tcPr>
            <w:tcW w:w="1240" w:type="dxa"/>
            <w:tcBorders>
              <w:top w:val="single" w:sz="4" w:space="0" w:color="auto"/>
              <w:bottom w:val="nil"/>
            </w:tcBorders>
            <w:shd w:val="clear" w:color="auto" w:fill="auto"/>
            <w:noWrap/>
            <w:vAlign w:val="bottom"/>
          </w:tcPr>
          <w:p w14:paraId="6C18667D" w14:textId="77777777" w:rsidR="004556B8" w:rsidRPr="004556B8" w:rsidRDefault="004556B8" w:rsidP="005B1F8F">
            <w:pPr>
              <w:jc w:val="right"/>
              <w:rPr>
                <w:b/>
                <w:sz w:val="22"/>
                <w:szCs w:val="22"/>
                <w:lang w:eastAsia="en-GB"/>
              </w:rPr>
            </w:pPr>
            <w:r w:rsidRPr="004556B8">
              <w:rPr>
                <w:b/>
                <w:sz w:val="22"/>
                <w:szCs w:val="22"/>
                <w:lang w:eastAsia="en-GB"/>
              </w:rPr>
              <w:t>(</w:t>
            </w:r>
            <w:r w:rsidR="00C4417B">
              <w:rPr>
                <w:b/>
                <w:sz w:val="22"/>
                <w:szCs w:val="22"/>
                <w:lang w:eastAsia="en-GB"/>
              </w:rPr>
              <w:t>1,</w:t>
            </w:r>
            <w:r w:rsidR="001F3A34">
              <w:rPr>
                <w:b/>
                <w:sz w:val="22"/>
                <w:szCs w:val="22"/>
                <w:lang w:eastAsia="en-GB"/>
              </w:rPr>
              <w:t>8</w:t>
            </w:r>
            <w:r w:rsidR="005B1F8F">
              <w:rPr>
                <w:b/>
                <w:sz w:val="22"/>
                <w:szCs w:val="22"/>
                <w:lang w:eastAsia="en-GB"/>
              </w:rPr>
              <w:t>03</w:t>
            </w:r>
            <w:r w:rsidRPr="004556B8">
              <w:rPr>
                <w:b/>
                <w:sz w:val="22"/>
                <w:szCs w:val="22"/>
                <w:lang w:eastAsia="en-GB"/>
              </w:rPr>
              <w:t>)</w:t>
            </w:r>
          </w:p>
        </w:tc>
        <w:tc>
          <w:tcPr>
            <w:tcW w:w="1240" w:type="dxa"/>
            <w:tcBorders>
              <w:top w:val="single" w:sz="4" w:space="0" w:color="auto"/>
              <w:bottom w:val="nil"/>
            </w:tcBorders>
            <w:shd w:val="clear" w:color="auto" w:fill="auto"/>
            <w:noWrap/>
            <w:vAlign w:val="bottom"/>
          </w:tcPr>
          <w:p w14:paraId="7F20B2C1" w14:textId="77777777" w:rsidR="004556B8" w:rsidRPr="004556B8" w:rsidRDefault="004556B8" w:rsidP="005B1F8F">
            <w:pPr>
              <w:jc w:val="right"/>
              <w:rPr>
                <w:b/>
                <w:sz w:val="22"/>
                <w:szCs w:val="22"/>
                <w:lang w:eastAsia="en-GB"/>
              </w:rPr>
            </w:pPr>
            <w:r w:rsidRPr="004556B8">
              <w:rPr>
                <w:b/>
                <w:sz w:val="22"/>
                <w:szCs w:val="22"/>
                <w:lang w:eastAsia="en-GB"/>
              </w:rPr>
              <w:t>(</w:t>
            </w:r>
            <w:r w:rsidR="00C4417B">
              <w:rPr>
                <w:b/>
                <w:sz w:val="22"/>
                <w:szCs w:val="22"/>
                <w:lang w:eastAsia="en-GB"/>
              </w:rPr>
              <w:t>1,</w:t>
            </w:r>
            <w:r w:rsidR="005B1F8F">
              <w:rPr>
                <w:b/>
                <w:sz w:val="22"/>
                <w:szCs w:val="22"/>
                <w:lang w:eastAsia="en-GB"/>
              </w:rPr>
              <w:t>697)</w:t>
            </w:r>
          </w:p>
        </w:tc>
        <w:tc>
          <w:tcPr>
            <w:tcW w:w="1240" w:type="dxa"/>
            <w:tcBorders>
              <w:top w:val="single" w:sz="4" w:space="0" w:color="auto"/>
              <w:bottom w:val="nil"/>
            </w:tcBorders>
            <w:shd w:val="clear" w:color="auto" w:fill="auto"/>
            <w:noWrap/>
            <w:vAlign w:val="bottom"/>
          </w:tcPr>
          <w:p w14:paraId="2476A54E" w14:textId="77777777" w:rsidR="004556B8" w:rsidRPr="004556B8" w:rsidRDefault="004556B8" w:rsidP="005B1F8F">
            <w:pPr>
              <w:jc w:val="right"/>
              <w:rPr>
                <w:b/>
                <w:sz w:val="22"/>
                <w:szCs w:val="22"/>
                <w:lang w:eastAsia="en-GB"/>
              </w:rPr>
            </w:pPr>
            <w:r w:rsidRPr="004556B8">
              <w:rPr>
                <w:b/>
                <w:sz w:val="22"/>
                <w:szCs w:val="22"/>
                <w:lang w:eastAsia="en-GB"/>
              </w:rPr>
              <w:t>(</w:t>
            </w:r>
            <w:r w:rsidR="001F3A34">
              <w:rPr>
                <w:b/>
                <w:sz w:val="22"/>
                <w:szCs w:val="22"/>
                <w:lang w:eastAsia="en-GB"/>
              </w:rPr>
              <w:t>1,8</w:t>
            </w:r>
            <w:r w:rsidR="005B1F8F">
              <w:rPr>
                <w:b/>
                <w:sz w:val="22"/>
                <w:szCs w:val="22"/>
                <w:lang w:eastAsia="en-GB"/>
              </w:rPr>
              <w:t>07</w:t>
            </w:r>
            <w:r w:rsidRPr="004556B8">
              <w:rPr>
                <w:b/>
                <w:sz w:val="22"/>
                <w:szCs w:val="22"/>
                <w:lang w:eastAsia="en-GB"/>
              </w:rPr>
              <w:t>)</w:t>
            </w:r>
          </w:p>
        </w:tc>
      </w:tr>
      <w:tr w:rsidR="004556B8" w:rsidRPr="004556B8" w14:paraId="3E230890" w14:textId="77777777" w:rsidTr="004668D0">
        <w:trPr>
          <w:trHeight w:val="288"/>
        </w:trPr>
        <w:tc>
          <w:tcPr>
            <w:tcW w:w="4420" w:type="dxa"/>
            <w:tcBorders>
              <w:top w:val="nil"/>
            </w:tcBorders>
            <w:shd w:val="clear" w:color="auto" w:fill="auto"/>
            <w:noWrap/>
            <w:vAlign w:val="bottom"/>
          </w:tcPr>
          <w:p w14:paraId="665EF979" w14:textId="77777777" w:rsidR="004556B8" w:rsidRPr="004556B8" w:rsidRDefault="004556B8" w:rsidP="00662880">
            <w:pPr>
              <w:rPr>
                <w:rFonts w:cs="Arial"/>
                <w:color w:val="000000"/>
                <w:sz w:val="22"/>
                <w:szCs w:val="22"/>
                <w:lang w:eastAsia="en-GB"/>
              </w:rPr>
            </w:pPr>
            <w:r w:rsidRPr="004556B8">
              <w:rPr>
                <w:rFonts w:cs="Arial"/>
                <w:color w:val="000000"/>
                <w:sz w:val="22"/>
                <w:szCs w:val="22"/>
                <w:lang w:eastAsia="en-GB"/>
              </w:rPr>
              <w:t>Appropriations</w:t>
            </w:r>
          </w:p>
        </w:tc>
        <w:tc>
          <w:tcPr>
            <w:tcW w:w="1240" w:type="dxa"/>
            <w:tcBorders>
              <w:top w:val="nil"/>
            </w:tcBorders>
            <w:shd w:val="clear" w:color="auto" w:fill="auto"/>
            <w:noWrap/>
            <w:vAlign w:val="bottom"/>
          </w:tcPr>
          <w:p w14:paraId="649585C6" w14:textId="77777777" w:rsidR="004556B8" w:rsidRPr="004556B8" w:rsidRDefault="004556B8" w:rsidP="005B1F8F">
            <w:pPr>
              <w:jc w:val="right"/>
              <w:rPr>
                <w:sz w:val="22"/>
                <w:szCs w:val="22"/>
                <w:lang w:eastAsia="en-GB"/>
              </w:rPr>
            </w:pPr>
            <w:r w:rsidRPr="004556B8">
              <w:rPr>
                <w:sz w:val="22"/>
                <w:szCs w:val="22"/>
                <w:lang w:eastAsia="en-GB"/>
              </w:rPr>
              <w:t>2,</w:t>
            </w:r>
            <w:r w:rsidR="00C4417B">
              <w:rPr>
                <w:sz w:val="22"/>
                <w:szCs w:val="22"/>
                <w:lang w:eastAsia="en-GB"/>
              </w:rPr>
              <w:t>6</w:t>
            </w:r>
            <w:r w:rsidR="005B1F8F">
              <w:rPr>
                <w:sz w:val="22"/>
                <w:szCs w:val="22"/>
                <w:lang w:eastAsia="en-GB"/>
              </w:rPr>
              <w:t>36</w:t>
            </w:r>
          </w:p>
        </w:tc>
        <w:tc>
          <w:tcPr>
            <w:tcW w:w="1240" w:type="dxa"/>
            <w:tcBorders>
              <w:top w:val="nil"/>
            </w:tcBorders>
            <w:shd w:val="clear" w:color="auto" w:fill="auto"/>
            <w:noWrap/>
            <w:vAlign w:val="bottom"/>
          </w:tcPr>
          <w:p w14:paraId="5739EF92" w14:textId="77777777" w:rsidR="004556B8" w:rsidRPr="004556B8" w:rsidRDefault="00C4417B" w:rsidP="005B1F8F">
            <w:pPr>
              <w:jc w:val="right"/>
              <w:rPr>
                <w:sz w:val="22"/>
                <w:szCs w:val="22"/>
                <w:lang w:eastAsia="en-GB"/>
              </w:rPr>
            </w:pPr>
            <w:r>
              <w:rPr>
                <w:sz w:val="22"/>
                <w:szCs w:val="22"/>
                <w:lang w:eastAsia="en-GB"/>
              </w:rPr>
              <w:t>1,</w:t>
            </w:r>
            <w:r w:rsidR="001F3A34">
              <w:rPr>
                <w:sz w:val="22"/>
                <w:szCs w:val="22"/>
                <w:lang w:eastAsia="en-GB"/>
              </w:rPr>
              <w:t>8</w:t>
            </w:r>
            <w:r w:rsidR="005B1F8F">
              <w:rPr>
                <w:sz w:val="22"/>
                <w:szCs w:val="22"/>
                <w:lang w:eastAsia="en-GB"/>
              </w:rPr>
              <w:t>31</w:t>
            </w:r>
          </w:p>
        </w:tc>
        <w:tc>
          <w:tcPr>
            <w:tcW w:w="1240" w:type="dxa"/>
            <w:tcBorders>
              <w:top w:val="nil"/>
            </w:tcBorders>
            <w:shd w:val="clear" w:color="auto" w:fill="auto"/>
            <w:noWrap/>
            <w:vAlign w:val="bottom"/>
          </w:tcPr>
          <w:p w14:paraId="64A88A6E" w14:textId="77777777" w:rsidR="004556B8" w:rsidRPr="004556B8" w:rsidRDefault="00C4417B" w:rsidP="005B1F8F">
            <w:pPr>
              <w:jc w:val="right"/>
              <w:rPr>
                <w:sz w:val="22"/>
                <w:szCs w:val="22"/>
                <w:lang w:eastAsia="en-GB"/>
              </w:rPr>
            </w:pPr>
            <w:r>
              <w:rPr>
                <w:sz w:val="22"/>
                <w:szCs w:val="22"/>
                <w:lang w:eastAsia="en-GB"/>
              </w:rPr>
              <w:t>1,</w:t>
            </w:r>
            <w:r w:rsidR="001F3A34">
              <w:rPr>
                <w:sz w:val="22"/>
                <w:szCs w:val="22"/>
                <w:lang w:eastAsia="en-GB"/>
              </w:rPr>
              <w:t>7</w:t>
            </w:r>
            <w:r w:rsidR="005B1F8F">
              <w:rPr>
                <w:sz w:val="22"/>
                <w:szCs w:val="22"/>
                <w:lang w:eastAsia="en-GB"/>
              </w:rPr>
              <w:t>18</w:t>
            </w:r>
          </w:p>
        </w:tc>
        <w:tc>
          <w:tcPr>
            <w:tcW w:w="1240" w:type="dxa"/>
            <w:tcBorders>
              <w:top w:val="nil"/>
            </w:tcBorders>
            <w:shd w:val="clear" w:color="auto" w:fill="auto"/>
            <w:noWrap/>
            <w:vAlign w:val="bottom"/>
          </w:tcPr>
          <w:p w14:paraId="30D3885C" w14:textId="77777777" w:rsidR="004556B8" w:rsidRPr="004556B8" w:rsidRDefault="001F3A34" w:rsidP="005B1F8F">
            <w:pPr>
              <w:jc w:val="right"/>
              <w:rPr>
                <w:sz w:val="22"/>
                <w:szCs w:val="22"/>
                <w:lang w:eastAsia="en-GB"/>
              </w:rPr>
            </w:pPr>
            <w:r>
              <w:rPr>
                <w:sz w:val="22"/>
                <w:szCs w:val="22"/>
                <w:lang w:eastAsia="en-GB"/>
              </w:rPr>
              <w:t>1</w:t>
            </w:r>
            <w:r w:rsidR="005B1F8F">
              <w:rPr>
                <w:sz w:val="22"/>
                <w:szCs w:val="22"/>
                <w:lang w:eastAsia="en-GB"/>
              </w:rPr>
              <w:t>,</w:t>
            </w:r>
            <w:r>
              <w:rPr>
                <w:sz w:val="22"/>
                <w:szCs w:val="22"/>
                <w:lang w:eastAsia="en-GB"/>
              </w:rPr>
              <w:t>8</w:t>
            </w:r>
            <w:r w:rsidR="005B1F8F">
              <w:rPr>
                <w:sz w:val="22"/>
                <w:szCs w:val="22"/>
                <w:lang w:eastAsia="en-GB"/>
              </w:rPr>
              <w:t>36</w:t>
            </w:r>
          </w:p>
        </w:tc>
      </w:tr>
      <w:tr w:rsidR="004556B8" w:rsidRPr="004556B8" w14:paraId="25498C3B" w14:textId="77777777" w:rsidTr="00353BF9">
        <w:trPr>
          <w:trHeight w:val="288"/>
        </w:trPr>
        <w:tc>
          <w:tcPr>
            <w:tcW w:w="4420" w:type="dxa"/>
            <w:shd w:val="clear" w:color="auto" w:fill="auto"/>
            <w:noWrap/>
            <w:vAlign w:val="bottom"/>
          </w:tcPr>
          <w:p w14:paraId="610C5FAA" w14:textId="77777777" w:rsidR="004556B8" w:rsidRPr="004556B8" w:rsidRDefault="004556B8" w:rsidP="00662880">
            <w:pPr>
              <w:rPr>
                <w:rFonts w:cs="Arial"/>
                <w:color w:val="000000"/>
                <w:sz w:val="22"/>
                <w:szCs w:val="22"/>
                <w:lang w:eastAsia="en-GB"/>
              </w:rPr>
            </w:pPr>
          </w:p>
        </w:tc>
        <w:tc>
          <w:tcPr>
            <w:tcW w:w="1240" w:type="dxa"/>
            <w:shd w:val="clear" w:color="auto" w:fill="auto"/>
            <w:noWrap/>
            <w:vAlign w:val="bottom"/>
          </w:tcPr>
          <w:p w14:paraId="32BEF76B"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6326849B"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57BA2C1D"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1C3B2D67" w14:textId="77777777" w:rsidR="004556B8" w:rsidRPr="004556B8" w:rsidRDefault="004556B8" w:rsidP="00353BF9">
            <w:pPr>
              <w:jc w:val="right"/>
              <w:rPr>
                <w:sz w:val="22"/>
                <w:szCs w:val="22"/>
                <w:lang w:eastAsia="en-GB"/>
              </w:rPr>
            </w:pPr>
          </w:p>
        </w:tc>
      </w:tr>
      <w:tr w:rsidR="004556B8" w:rsidRPr="004556B8" w14:paraId="2E4ED348" w14:textId="77777777" w:rsidTr="00353BF9">
        <w:trPr>
          <w:trHeight w:val="288"/>
        </w:trPr>
        <w:tc>
          <w:tcPr>
            <w:tcW w:w="4420" w:type="dxa"/>
            <w:shd w:val="clear" w:color="auto" w:fill="auto"/>
            <w:noWrap/>
            <w:vAlign w:val="bottom"/>
          </w:tcPr>
          <w:p w14:paraId="119575AC" w14:textId="77777777" w:rsidR="004556B8" w:rsidRPr="004556B8" w:rsidRDefault="004556B8" w:rsidP="00662880">
            <w:pPr>
              <w:rPr>
                <w:rFonts w:cs="Arial"/>
                <w:b/>
                <w:color w:val="000000"/>
                <w:sz w:val="22"/>
                <w:szCs w:val="22"/>
                <w:lang w:eastAsia="en-GB"/>
              </w:rPr>
            </w:pPr>
            <w:r w:rsidRPr="004556B8">
              <w:rPr>
                <w:rFonts w:cs="Arial"/>
                <w:b/>
                <w:color w:val="000000"/>
                <w:sz w:val="22"/>
                <w:szCs w:val="22"/>
                <w:lang w:eastAsia="en-GB"/>
              </w:rPr>
              <w:t>(Surplus)/Deficit for the Year</w:t>
            </w:r>
          </w:p>
        </w:tc>
        <w:tc>
          <w:tcPr>
            <w:tcW w:w="1240" w:type="dxa"/>
            <w:shd w:val="clear" w:color="auto" w:fill="auto"/>
            <w:noWrap/>
            <w:vAlign w:val="bottom"/>
          </w:tcPr>
          <w:p w14:paraId="2DD010D7" w14:textId="77777777" w:rsidR="004556B8" w:rsidRPr="004556B8" w:rsidRDefault="004556B8" w:rsidP="001F3A34">
            <w:pPr>
              <w:jc w:val="right"/>
              <w:rPr>
                <w:b/>
                <w:sz w:val="22"/>
                <w:szCs w:val="22"/>
                <w:lang w:eastAsia="en-GB"/>
              </w:rPr>
            </w:pPr>
            <w:r w:rsidRPr="004556B8">
              <w:rPr>
                <w:b/>
                <w:sz w:val="22"/>
                <w:szCs w:val="22"/>
                <w:lang w:eastAsia="en-GB"/>
              </w:rPr>
              <w:t>1,4</w:t>
            </w:r>
            <w:r w:rsidR="00C4417B">
              <w:rPr>
                <w:b/>
                <w:sz w:val="22"/>
                <w:szCs w:val="22"/>
                <w:lang w:eastAsia="en-GB"/>
              </w:rPr>
              <w:t>6</w:t>
            </w:r>
            <w:r w:rsidR="001F3A34">
              <w:rPr>
                <w:b/>
                <w:sz w:val="22"/>
                <w:szCs w:val="22"/>
                <w:lang w:eastAsia="en-GB"/>
              </w:rPr>
              <w:t>8</w:t>
            </w:r>
          </w:p>
        </w:tc>
        <w:tc>
          <w:tcPr>
            <w:tcW w:w="1240" w:type="dxa"/>
            <w:shd w:val="clear" w:color="auto" w:fill="auto"/>
            <w:noWrap/>
            <w:vAlign w:val="bottom"/>
          </w:tcPr>
          <w:p w14:paraId="2222DB47" w14:textId="77777777" w:rsidR="004556B8" w:rsidRPr="004556B8" w:rsidRDefault="004556B8" w:rsidP="001F3A34">
            <w:pPr>
              <w:jc w:val="right"/>
              <w:rPr>
                <w:b/>
                <w:sz w:val="22"/>
                <w:szCs w:val="22"/>
                <w:lang w:eastAsia="en-GB"/>
              </w:rPr>
            </w:pPr>
            <w:r w:rsidRPr="004556B8">
              <w:rPr>
                <w:b/>
                <w:sz w:val="22"/>
                <w:szCs w:val="22"/>
                <w:lang w:eastAsia="en-GB"/>
              </w:rPr>
              <w:t>2</w:t>
            </w:r>
            <w:r w:rsidR="001F3A34">
              <w:rPr>
                <w:b/>
                <w:sz w:val="22"/>
                <w:szCs w:val="22"/>
                <w:lang w:eastAsia="en-GB"/>
              </w:rPr>
              <w:t>8</w:t>
            </w:r>
          </w:p>
        </w:tc>
        <w:tc>
          <w:tcPr>
            <w:tcW w:w="1240" w:type="dxa"/>
            <w:shd w:val="clear" w:color="auto" w:fill="auto"/>
            <w:noWrap/>
            <w:vAlign w:val="bottom"/>
          </w:tcPr>
          <w:p w14:paraId="2E42FE19" w14:textId="77777777" w:rsidR="004556B8" w:rsidRPr="004556B8" w:rsidRDefault="007D6981" w:rsidP="00C4417B">
            <w:pPr>
              <w:jc w:val="right"/>
              <w:rPr>
                <w:b/>
                <w:sz w:val="22"/>
                <w:szCs w:val="22"/>
                <w:lang w:eastAsia="en-GB"/>
              </w:rPr>
            </w:pPr>
            <w:r>
              <w:rPr>
                <w:b/>
                <w:sz w:val="22"/>
                <w:szCs w:val="22"/>
                <w:lang w:eastAsia="en-GB"/>
              </w:rPr>
              <w:t>2</w:t>
            </w:r>
            <w:r w:rsidR="00C4417B">
              <w:rPr>
                <w:b/>
                <w:sz w:val="22"/>
                <w:szCs w:val="22"/>
                <w:lang w:eastAsia="en-GB"/>
              </w:rPr>
              <w:t>1</w:t>
            </w:r>
          </w:p>
        </w:tc>
        <w:tc>
          <w:tcPr>
            <w:tcW w:w="1240" w:type="dxa"/>
            <w:shd w:val="clear" w:color="auto" w:fill="auto"/>
            <w:noWrap/>
            <w:vAlign w:val="bottom"/>
          </w:tcPr>
          <w:p w14:paraId="5B1ACD9C" w14:textId="77777777" w:rsidR="004556B8" w:rsidRPr="004556B8" w:rsidRDefault="007D6981" w:rsidP="001F3A34">
            <w:pPr>
              <w:jc w:val="right"/>
              <w:rPr>
                <w:b/>
                <w:sz w:val="22"/>
                <w:szCs w:val="22"/>
                <w:lang w:eastAsia="en-GB"/>
              </w:rPr>
            </w:pPr>
            <w:r>
              <w:rPr>
                <w:b/>
                <w:sz w:val="22"/>
                <w:szCs w:val="22"/>
                <w:lang w:eastAsia="en-GB"/>
              </w:rPr>
              <w:t>2</w:t>
            </w:r>
            <w:r w:rsidR="001F3A34">
              <w:rPr>
                <w:b/>
                <w:sz w:val="22"/>
                <w:szCs w:val="22"/>
                <w:lang w:eastAsia="en-GB"/>
              </w:rPr>
              <w:t>9</w:t>
            </w:r>
          </w:p>
        </w:tc>
      </w:tr>
      <w:tr w:rsidR="004556B8" w:rsidRPr="004556B8" w14:paraId="24CA4188" w14:textId="77777777" w:rsidTr="00353BF9">
        <w:trPr>
          <w:trHeight w:val="288"/>
        </w:trPr>
        <w:tc>
          <w:tcPr>
            <w:tcW w:w="4420" w:type="dxa"/>
            <w:shd w:val="clear" w:color="auto" w:fill="auto"/>
            <w:noWrap/>
            <w:vAlign w:val="bottom"/>
          </w:tcPr>
          <w:p w14:paraId="210C436E" w14:textId="77777777" w:rsidR="004556B8" w:rsidRPr="004556B8" w:rsidRDefault="004556B8" w:rsidP="00662880">
            <w:pPr>
              <w:rPr>
                <w:rFonts w:cs="Arial"/>
                <w:color w:val="000000"/>
                <w:sz w:val="22"/>
                <w:szCs w:val="22"/>
                <w:lang w:eastAsia="en-GB"/>
              </w:rPr>
            </w:pPr>
          </w:p>
        </w:tc>
        <w:tc>
          <w:tcPr>
            <w:tcW w:w="1240" w:type="dxa"/>
            <w:shd w:val="clear" w:color="auto" w:fill="auto"/>
            <w:noWrap/>
            <w:vAlign w:val="bottom"/>
          </w:tcPr>
          <w:p w14:paraId="6E83975E"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4952EB22"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0D13461B"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3775299D" w14:textId="77777777" w:rsidR="004556B8" w:rsidRPr="004556B8" w:rsidRDefault="004556B8" w:rsidP="00353BF9">
            <w:pPr>
              <w:jc w:val="right"/>
              <w:rPr>
                <w:sz w:val="22"/>
                <w:szCs w:val="22"/>
                <w:lang w:eastAsia="en-GB"/>
              </w:rPr>
            </w:pPr>
          </w:p>
        </w:tc>
      </w:tr>
      <w:tr w:rsidR="004556B8" w:rsidRPr="004556B8" w14:paraId="0A58621C" w14:textId="77777777" w:rsidTr="00353BF9">
        <w:trPr>
          <w:trHeight w:val="288"/>
        </w:trPr>
        <w:tc>
          <w:tcPr>
            <w:tcW w:w="4420" w:type="dxa"/>
            <w:shd w:val="clear" w:color="auto" w:fill="auto"/>
            <w:noWrap/>
            <w:vAlign w:val="bottom"/>
          </w:tcPr>
          <w:p w14:paraId="7E40BB8B" w14:textId="77777777" w:rsidR="004556B8" w:rsidRPr="004556B8" w:rsidRDefault="004556B8" w:rsidP="00662880">
            <w:pPr>
              <w:rPr>
                <w:rFonts w:cs="Arial"/>
                <w:color w:val="000000"/>
                <w:sz w:val="22"/>
                <w:szCs w:val="22"/>
                <w:lang w:eastAsia="en-GB"/>
              </w:rPr>
            </w:pPr>
            <w:r w:rsidRPr="004556B8">
              <w:rPr>
                <w:rFonts w:cs="Arial"/>
                <w:color w:val="000000"/>
                <w:sz w:val="22"/>
                <w:szCs w:val="22"/>
                <w:lang w:eastAsia="en-GB"/>
              </w:rPr>
              <w:t>(Surplus)/Deficit b/</w:t>
            </w:r>
            <w:proofErr w:type="spellStart"/>
            <w:r w:rsidRPr="004556B8">
              <w:rPr>
                <w:rFonts w:cs="Arial"/>
                <w:color w:val="000000"/>
                <w:sz w:val="22"/>
                <w:szCs w:val="22"/>
                <w:lang w:eastAsia="en-GB"/>
              </w:rPr>
              <w:t>fwd</w:t>
            </w:r>
            <w:proofErr w:type="spellEnd"/>
          </w:p>
        </w:tc>
        <w:tc>
          <w:tcPr>
            <w:tcW w:w="1240" w:type="dxa"/>
            <w:shd w:val="clear" w:color="auto" w:fill="auto"/>
            <w:noWrap/>
            <w:vAlign w:val="bottom"/>
          </w:tcPr>
          <w:p w14:paraId="1467CC18" w14:textId="77777777" w:rsidR="004556B8" w:rsidRPr="004556B8" w:rsidRDefault="004556B8" w:rsidP="004556B8">
            <w:pPr>
              <w:jc w:val="right"/>
              <w:rPr>
                <w:sz w:val="22"/>
                <w:szCs w:val="22"/>
                <w:lang w:eastAsia="en-GB"/>
              </w:rPr>
            </w:pPr>
            <w:r w:rsidRPr="004556B8">
              <w:rPr>
                <w:sz w:val="22"/>
                <w:szCs w:val="22"/>
                <w:lang w:eastAsia="en-GB"/>
              </w:rPr>
              <w:t>(4,941)</w:t>
            </w:r>
          </w:p>
        </w:tc>
        <w:tc>
          <w:tcPr>
            <w:tcW w:w="1240" w:type="dxa"/>
            <w:shd w:val="clear" w:color="auto" w:fill="auto"/>
            <w:noWrap/>
            <w:vAlign w:val="bottom"/>
          </w:tcPr>
          <w:p w14:paraId="6D0D6D4A" w14:textId="77777777" w:rsidR="004556B8" w:rsidRPr="004556B8" w:rsidRDefault="004556B8" w:rsidP="001F3A34">
            <w:pPr>
              <w:jc w:val="right"/>
              <w:rPr>
                <w:sz w:val="22"/>
                <w:szCs w:val="22"/>
                <w:lang w:eastAsia="en-GB"/>
              </w:rPr>
            </w:pPr>
            <w:r w:rsidRPr="004556B8">
              <w:rPr>
                <w:sz w:val="22"/>
                <w:szCs w:val="22"/>
                <w:lang w:eastAsia="en-GB"/>
              </w:rPr>
              <w:t>(3,</w:t>
            </w:r>
            <w:r w:rsidR="00C4417B">
              <w:rPr>
                <w:sz w:val="22"/>
                <w:szCs w:val="22"/>
                <w:lang w:eastAsia="en-GB"/>
              </w:rPr>
              <w:t>50</w:t>
            </w:r>
            <w:r w:rsidR="001F3A34">
              <w:rPr>
                <w:sz w:val="22"/>
                <w:szCs w:val="22"/>
                <w:lang w:eastAsia="en-GB"/>
              </w:rPr>
              <w:t>1</w:t>
            </w:r>
            <w:r w:rsidRPr="004556B8">
              <w:rPr>
                <w:sz w:val="22"/>
                <w:szCs w:val="22"/>
                <w:lang w:eastAsia="en-GB"/>
              </w:rPr>
              <w:t>)</w:t>
            </w:r>
          </w:p>
        </w:tc>
        <w:tc>
          <w:tcPr>
            <w:tcW w:w="1240" w:type="dxa"/>
            <w:shd w:val="clear" w:color="auto" w:fill="auto"/>
            <w:noWrap/>
            <w:vAlign w:val="bottom"/>
          </w:tcPr>
          <w:p w14:paraId="37268F0B" w14:textId="77777777" w:rsidR="004556B8" w:rsidRPr="004556B8" w:rsidRDefault="004556B8" w:rsidP="005B1F8F">
            <w:pPr>
              <w:jc w:val="right"/>
              <w:rPr>
                <w:sz w:val="22"/>
                <w:szCs w:val="22"/>
                <w:lang w:eastAsia="en-GB"/>
              </w:rPr>
            </w:pPr>
            <w:r w:rsidRPr="004556B8">
              <w:rPr>
                <w:sz w:val="22"/>
                <w:szCs w:val="22"/>
                <w:lang w:eastAsia="en-GB"/>
              </w:rPr>
              <w:t>(3,</w:t>
            </w:r>
            <w:r w:rsidR="005B1F8F">
              <w:rPr>
                <w:sz w:val="22"/>
                <w:szCs w:val="22"/>
                <w:lang w:eastAsia="en-GB"/>
              </w:rPr>
              <w:t>493</w:t>
            </w:r>
            <w:r w:rsidRPr="004556B8">
              <w:rPr>
                <w:sz w:val="22"/>
                <w:szCs w:val="22"/>
                <w:lang w:eastAsia="en-GB"/>
              </w:rPr>
              <w:t>)</w:t>
            </w:r>
          </w:p>
        </w:tc>
        <w:tc>
          <w:tcPr>
            <w:tcW w:w="1240" w:type="dxa"/>
            <w:shd w:val="clear" w:color="auto" w:fill="auto"/>
            <w:noWrap/>
            <w:vAlign w:val="bottom"/>
          </w:tcPr>
          <w:p w14:paraId="5D4A66D8" w14:textId="77777777" w:rsidR="004556B8" w:rsidRPr="004556B8" w:rsidRDefault="004556B8" w:rsidP="005B1F8F">
            <w:pPr>
              <w:jc w:val="right"/>
              <w:rPr>
                <w:sz w:val="22"/>
                <w:szCs w:val="22"/>
                <w:lang w:eastAsia="en-GB"/>
              </w:rPr>
            </w:pPr>
            <w:r w:rsidRPr="004556B8">
              <w:rPr>
                <w:sz w:val="22"/>
                <w:szCs w:val="22"/>
                <w:lang w:eastAsia="en-GB"/>
              </w:rPr>
              <w:t>(3,5</w:t>
            </w:r>
            <w:r w:rsidR="005B1F8F">
              <w:rPr>
                <w:sz w:val="22"/>
                <w:szCs w:val="22"/>
                <w:lang w:eastAsia="en-GB"/>
              </w:rPr>
              <w:t>00</w:t>
            </w:r>
            <w:r w:rsidRPr="004556B8">
              <w:rPr>
                <w:sz w:val="22"/>
                <w:szCs w:val="22"/>
                <w:lang w:eastAsia="en-GB"/>
              </w:rPr>
              <w:t>)</w:t>
            </w:r>
          </w:p>
        </w:tc>
      </w:tr>
      <w:tr w:rsidR="004556B8" w:rsidRPr="004556B8" w14:paraId="2FF8D907" w14:textId="77777777" w:rsidTr="00353BF9">
        <w:trPr>
          <w:trHeight w:val="288"/>
        </w:trPr>
        <w:tc>
          <w:tcPr>
            <w:tcW w:w="4420" w:type="dxa"/>
            <w:shd w:val="clear" w:color="auto" w:fill="auto"/>
            <w:noWrap/>
            <w:vAlign w:val="bottom"/>
          </w:tcPr>
          <w:p w14:paraId="7BB88663" w14:textId="77777777" w:rsidR="004556B8" w:rsidRPr="004556B8" w:rsidRDefault="004556B8" w:rsidP="00662880">
            <w:pPr>
              <w:rPr>
                <w:rFonts w:cs="Arial"/>
                <w:color w:val="000000"/>
                <w:sz w:val="22"/>
                <w:szCs w:val="22"/>
                <w:lang w:eastAsia="en-GB"/>
              </w:rPr>
            </w:pPr>
          </w:p>
        </w:tc>
        <w:tc>
          <w:tcPr>
            <w:tcW w:w="1240" w:type="dxa"/>
            <w:shd w:val="clear" w:color="auto" w:fill="auto"/>
            <w:noWrap/>
            <w:vAlign w:val="bottom"/>
          </w:tcPr>
          <w:p w14:paraId="71088956"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6F898E5E"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0B279C2B"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099EE661" w14:textId="77777777" w:rsidR="004556B8" w:rsidRPr="004556B8" w:rsidRDefault="004556B8" w:rsidP="00353BF9">
            <w:pPr>
              <w:jc w:val="right"/>
              <w:rPr>
                <w:sz w:val="22"/>
                <w:szCs w:val="22"/>
                <w:lang w:eastAsia="en-GB"/>
              </w:rPr>
            </w:pPr>
          </w:p>
        </w:tc>
      </w:tr>
      <w:tr w:rsidR="004556B8" w:rsidRPr="004556B8" w14:paraId="7961E19D" w14:textId="77777777" w:rsidTr="00353BF9">
        <w:trPr>
          <w:trHeight w:val="288"/>
        </w:trPr>
        <w:tc>
          <w:tcPr>
            <w:tcW w:w="4420" w:type="dxa"/>
            <w:shd w:val="clear" w:color="auto" w:fill="auto"/>
            <w:noWrap/>
            <w:vAlign w:val="bottom"/>
          </w:tcPr>
          <w:p w14:paraId="78AAA773" w14:textId="77777777" w:rsidR="004556B8" w:rsidRPr="004556B8" w:rsidRDefault="004556B8" w:rsidP="00662880">
            <w:pPr>
              <w:rPr>
                <w:rFonts w:cs="Arial"/>
                <w:color w:val="000000"/>
                <w:sz w:val="22"/>
                <w:szCs w:val="22"/>
                <w:lang w:eastAsia="en-GB"/>
              </w:rPr>
            </w:pPr>
            <w:r w:rsidRPr="004556B8">
              <w:rPr>
                <w:rFonts w:cs="Arial"/>
                <w:color w:val="000000"/>
                <w:sz w:val="22"/>
                <w:szCs w:val="22"/>
                <w:lang w:eastAsia="en-GB"/>
              </w:rPr>
              <w:t>Investment Income</w:t>
            </w:r>
          </w:p>
        </w:tc>
        <w:tc>
          <w:tcPr>
            <w:tcW w:w="1240" w:type="dxa"/>
            <w:shd w:val="clear" w:color="auto" w:fill="auto"/>
            <w:noWrap/>
            <w:vAlign w:val="bottom"/>
          </w:tcPr>
          <w:p w14:paraId="45E6D2AD" w14:textId="77777777" w:rsidR="004556B8" w:rsidRPr="004556B8" w:rsidRDefault="004556B8" w:rsidP="004556B8">
            <w:pPr>
              <w:jc w:val="right"/>
              <w:rPr>
                <w:sz w:val="22"/>
                <w:szCs w:val="22"/>
                <w:lang w:eastAsia="en-GB"/>
              </w:rPr>
            </w:pPr>
            <w:r w:rsidRPr="004556B8">
              <w:rPr>
                <w:sz w:val="22"/>
                <w:szCs w:val="22"/>
                <w:lang w:eastAsia="en-GB"/>
              </w:rPr>
              <w:t>(28)</w:t>
            </w:r>
          </w:p>
        </w:tc>
        <w:tc>
          <w:tcPr>
            <w:tcW w:w="1240" w:type="dxa"/>
            <w:shd w:val="clear" w:color="auto" w:fill="auto"/>
            <w:noWrap/>
            <w:vAlign w:val="bottom"/>
          </w:tcPr>
          <w:p w14:paraId="432CFFE7" w14:textId="77777777" w:rsidR="004556B8" w:rsidRPr="004556B8" w:rsidRDefault="004556B8" w:rsidP="004556B8">
            <w:pPr>
              <w:jc w:val="right"/>
              <w:rPr>
                <w:sz w:val="22"/>
                <w:szCs w:val="22"/>
                <w:lang w:eastAsia="en-GB"/>
              </w:rPr>
            </w:pPr>
            <w:r w:rsidRPr="004556B8">
              <w:rPr>
                <w:sz w:val="22"/>
                <w:szCs w:val="22"/>
                <w:lang w:eastAsia="en-GB"/>
              </w:rPr>
              <w:t>(20)</w:t>
            </w:r>
          </w:p>
        </w:tc>
        <w:tc>
          <w:tcPr>
            <w:tcW w:w="1240" w:type="dxa"/>
            <w:shd w:val="clear" w:color="auto" w:fill="auto"/>
            <w:noWrap/>
            <w:vAlign w:val="bottom"/>
          </w:tcPr>
          <w:p w14:paraId="30621E94" w14:textId="77777777" w:rsidR="004556B8" w:rsidRPr="004556B8" w:rsidRDefault="004556B8" w:rsidP="004556B8">
            <w:pPr>
              <w:jc w:val="right"/>
              <w:rPr>
                <w:sz w:val="22"/>
                <w:szCs w:val="22"/>
                <w:lang w:eastAsia="en-GB"/>
              </w:rPr>
            </w:pPr>
            <w:r w:rsidRPr="004556B8">
              <w:rPr>
                <w:sz w:val="22"/>
                <w:szCs w:val="22"/>
                <w:lang w:eastAsia="en-GB"/>
              </w:rPr>
              <w:t>(28)</w:t>
            </w:r>
          </w:p>
        </w:tc>
        <w:tc>
          <w:tcPr>
            <w:tcW w:w="1240" w:type="dxa"/>
            <w:shd w:val="clear" w:color="auto" w:fill="auto"/>
            <w:noWrap/>
            <w:vAlign w:val="bottom"/>
          </w:tcPr>
          <w:p w14:paraId="3F3BEF8E" w14:textId="77777777" w:rsidR="004556B8" w:rsidRPr="004556B8" w:rsidRDefault="004556B8" w:rsidP="004556B8">
            <w:pPr>
              <w:jc w:val="right"/>
              <w:rPr>
                <w:sz w:val="22"/>
                <w:szCs w:val="22"/>
                <w:lang w:eastAsia="en-GB"/>
              </w:rPr>
            </w:pPr>
            <w:r w:rsidRPr="004556B8">
              <w:rPr>
                <w:sz w:val="22"/>
                <w:szCs w:val="22"/>
                <w:lang w:eastAsia="en-GB"/>
              </w:rPr>
              <w:t>(28)</w:t>
            </w:r>
          </w:p>
        </w:tc>
      </w:tr>
      <w:tr w:rsidR="004556B8" w:rsidRPr="004556B8" w14:paraId="4EE5E77D" w14:textId="77777777" w:rsidTr="00353BF9">
        <w:trPr>
          <w:trHeight w:val="288"/>
        </w:trPr>
        <w:tc>
          <w:tcPr>
            <w:tcW w:w="4420" w:type="dxa"/>
            <w:shd w:val="clear" w:color="auto" w:fill="auto"/>
            <w:noWrap/>
            <w:vAlign w:val="bottom"/>
          </w:tcPr>
          <w:p w14:paraId="3B194BBB" w14:textId="77777777" w:rsidR="004556B8" w:rsidRPr="004556B8" w:rsidRDefault="004556B8" w:rsidP="00662880">
            <w:pPr>
              <w:rPr>
                <w:rFonts w:cs="Arial"/>
                <w:color w:val="000000"/>
                <w:sz w:val="22"/>
                <w:szCs w:val="22"/>
                <w:lang w:eastAsia="en-GB"/>
              </w:rPr>
            </w:pPr>
          </w:p>
        </w:tc>
        <w:tc>
          <w:tcPr>
            <w:tcW w:w="1240" w:type="dxa"/>
            <w:shd w:val="clear" w:color="auto" w:fill="auto"/>
            <w:noWrap/>
            <w:vAlign w:val="bottom"/>
          </w:tcPr>
          <w:p w14:paraId="547B1CF9"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121366B5"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0D57F6F6"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02AA009B" w14:textId="77777777" w:rsidR="004556B8" w:rsidRPr="004556B8" w:rsidRDefault="004556B8" w:rsidP="00353BF9">
            <w:pPr>
              <w:jc w:val="right"/>
              <w:rPr>
                <w:sz w:val="22"/>
                <w:szCs w:val="22"/>
                <w:lang w:eastAsia="en-GB"/>
              </w:rPr>
            </w:pPr>
          </w:p>
        </w:tc>
      </w:tr>
      <w:tr w:rsidR="004556B8" w:rsidRPr="004556B8" w14:paraId="76FACA2E" w14:textId="77777777" w:rsidTr="00353BF9">
        <w:trPr>
          <w:trHeight w:val="288"/>
        </w:trPr>
        <w:tc>
          <w:tcPr>
            <w:tcW w:w="4420" w:type="dxa"/>
            <w:shd w:val="clear" w:color="auto" w:fill="auto"/>
            <w:noWrap/>
            <w:vAlign w:val="bottom"/>
          </w:tcPr>
          <w:p w14:paraId="64EE948E" w14:textId="77777777" w:rsidR="004556B8" w:rsidRPr="004556B8" w:rsidRDefault="004556B8" w:rsidP="00662880">
            <w:pPr>
              <w:rPr>
                <w:rFonts w:cs="Arial"/>
                <w:b/>
                <w:color w:val="000000"/>
                <w:sz w:val="22"/>
                <w:szCs w:val="22"/>
                <w:lang w:eastAsia="en-GB"/>
              </w:rPr>
            </w:pPr>
            <w:r w:rsidRPr="004556B8">
              <w:rPr>
                <w:rFonts w:cs="Arial"/>
                <w:b/>
                <w:color w:val="000000"/>
                <w:sz w:val="22"/>
                <w:szCs w:val="22"/>
                <w:lang w:eastAsia="en-GB"/>
              </w:rPr>
              <w:t>(Surplus)/Deficit c/</w:t>
            </w:r>
            <w:proofErr w:type="spellStart"/>
            <w:r w:rsidRPr="004556B8">
              <w:rPr>
                <w:rFonts w:cs="Arial"/>
                <w:b/>
                <w:color w:val="000000"/>
                <w:sz w:val="22"/>
                <w:szCs w:val="22"/>
                <w:lang w:eastAsia="en-GB"/>
              </w:rPr>
              <w:t>fwd</w:t>
            </w:r>
            <w:proofErr w:type="spellEnd"/>
          </w:p>
        </w:tc>
        <w:tc>
          <w:tcPr>
            <w:tcW w:w="1240" w:type="dxa"/>
            <w:shd w:val="clear" w:color="auto" w:fill="auto"/>
            <w:noWrap/>
            <w:vAlign w:val="bottom"/>
          </w:tcPr>
          <w:p w14:paraId="2FC5FCE1" w14:textId="77777777" w:rsidR="004556B8" w:rsidRPr="004556B8" w:rsidRDefault="004556B8" w:rsidP="001F3A34">
            <w:pPr>
              <w:jc w:val="right"/>
              <w:rPr>
                <w:b/>
                <w:sz w:val="22"/>
                <w:szCs w:val="22"/>
                <w:lang w:eastAsia="en-GB"/>
              </w:rPr>
            </w:pPr>
            <w:r w:rsidRPr="004556B8">
              <w:rPr>
                <w:b/>
                <w:sz w:val="22"/>
                <w:szCs w:val="22"/>
                <w:lang w:eastAsia="en-GB"/>
              </w:rPr>
              <w:t>(3,</w:t>
            </w:r>
            <w:r w:rsidR="00C4417B">
              <w:rPr>
                <w:b/>
                <w:sz w:val="22"/>
                <w:szCs w:val="22"/>
                <w:lang w:eastAsia="en-GB"/>
              </w:rPr>
              <w:t>50</w:t>
            </w:r>
            <w:r w:rsidR="001F3A34">
              <w:rPr>
                <w:b/>
                <w:sz w:val="22"/>
                <w:szCs w:val="22"/>
                <w:lang w:eastAsia="en-GB"/>
              </w:rPr>
              <w:t>1</w:t>
            </w:r>
            <w:r w:rsidRPr="004556B8">
              <w:rPr>
                <w:b/>
                <w:sz w:val="22"/>
                <w:szCs w:val="22"/>
                <w:lang w:eastAsia="en-GB"/>
              </w:rPr>
              <w:t>)</w:t>
            </w:r>
          </w:p>
        </w:tc>
        <w:tc>
          <w:tcPr>
            <w:tcW w:w="1240" w:type="dxa"/>
            <w:shd w:val="clear" w:color="auto" w:fill="auto"/>
            <w:noWrap/>
            <w:vAlign w:val="bottom"/>
          </w:tcPr>
          <w:p w14:paraId="59830FCA" w14:textId="77777777" w:rsidR="004556B8" w:rsidRPr="004556B8" w:rsidRDefault="004556B8" w:rsidP="005B1F8F">
            <w:pPr>
              <w:jc w:val="right"/>
              <w:rPr>
                <w:b/>
                <w:sz w:val="22"/>
                <w:szCs w:val="22"/>
                <w:lang w:eastAsia="en-GB"/>
              </w:rPr>
            </w:pPr>
            <w:r w:rsidRPr="004556B8">
              <w:rPr>
                <w:b/>
                <w:sz w:val="22"/>
                <w:szCs w:val="22"/>
                <w:lang w:eastAsia="en-GB"/>
              </w:rPr>
              <w:t>(3,</w:t>
            </w:r>
            <w:r w:rsidR="005B1F8F">
              <w:rPr>
                <w:b/>
                <w:sz w:val="22"/>
                <w:szCs w:val="22"/>
                <w:lang w:eastAsia="en-GB"/>
              </w:rPr>
              <w:t>493</w:t>
            </w:r>
            <w:r w:rsidRPr="004556B8">
              <w:rPr>
                <w:b/>
                <w:sz w:val="22"/>
                <w:szCs w:val="22"/>
                <w:lang w:eastAsia="en-GB"/>
              </w:rPr>
              <w:t>)</w:t>
            </w:r>
          </w:p>
        </w:tc>
        <w:tc>
          <w:tcPr>
            <w:tcW w:w="1240" w:type="dxa"/>
            <w:shd w:val="clear" w:color="auto" w:fill="auto"/>
            <w:noWrap/>
            <w:vAlign w:val="bottom"/>
          </w:tcPr>
          <w:p w14:paraId="1401A03D" w14:textId="77777777" w:rsidR="004556B8" w:rsidRPr="004556B8" w:rsidRDefault="004556B8" w:rsidP="005B1F8F">
            <w:pPr>
              <w:jc w:val="right"/>
              <w:rPr>
                <w:b/>
                <w:sz w:val="22"/>
                <w:szCs w:val="22"/>
                <w:lang w:eastAsia="en-GB"/>
              </w:rPr>
            </w:pPr>
            <w:r w:rsidRPr="004556B8">
              <w:rPr>
                <w:b/>
                <w:sz w:val="22"/>
                <w:szCs w:val="22"/>
                <w:lang w:eastAsia="en-GB"/>
              </w:rPr>
              <w:t>(3,</w:t>
            </w:r>
            <w:r w:rsidR="00C4417B">
              <w:rPr>
                <w:b/>
                <w:sz w:val="22"/>
                <w:szCs w:val="22"/>
                <w:lang w:eastAsia="en-GB"/>
              </w:rPr>
              <w:t>5</w:t>
            </w:r>
            <w:r w:rsidR="005B1F8F">
              <w:rPr>
                <w:b/>
                <w:sz w:val="22"/>
                <w:szCs w:val="22"/>
                <w:lang w:eastAsia="en-GB"/>
              </w:rPr>
              <w:t>00</w:t>
            </w:r>
            <w:r w:rsidRPr="004556B8">
              <w:rPr>
                <w:b/>
                <w:sz w:val="22"/>
                <w:szCs w:val="22"/>
                <w:lang w:eastAsia="en-GB"/>
              </w:rPr>
              <w:t>)</w:t>
            </w:r>
          </w:p>
        </w:tc>
        <w:tc>
          <w:tcPr>
            <w:tcW w:w="1240" w:type="dxa"/>
            <w:shd w:val="clear" w:color="auto" w:fill="auto"/>
            <w:noWrap/>
            <w:vAlign w:val="bottom"/>
          </w:tcPr>
          <w:p w14:paraId="1D6CEE33" w14:textId="77777777" w:rsidR="004556B8" w:rsidRPr="004556B8" w:rsidRDefault="004556B8" w:rsidP="005B1F8F">
            <w:pPr>
              <w:jc w:val="right"/>
              <w:rPr>
                <w:b/>
                <w:sz w:val="22"/>
                <w:szCs w:val="22"/>
                <w:lang w:eastAsia="en-GB"/>
              </w:rPr>
            </w:pPr>
            <w:r w:rsidRPr="004556B8">
              <w:rPr>
                <w:b/>
                <w:sz w:val="22"/>
                <w:szCs w:val="22"/>
                <w:lang w:eastAsia="en-GB"/>
              </w:rPr>
              <w:t>(3,</w:t>
            </w:r>
            <w:r w:rsidR="005B1F8F">
              <w:rPr>
                <w:b/>
                <w:sz w:val="22"/>
                <w:szCs w:val="22"/>
                <w:lang w:eastAsia="en-GB"/>
              </w:rPr>
              <w:t>499</w:t>
            </w:r>
            <w:r w:rsidRPr="004556B8">
              <w:rPr>
                <w:b/>
                <w:sz w:val="22"/>
                <w:szCs w:val="22"/>
                <w:lang w:eastAsia="en-GB"/>
              </w:rPr>
              <w:t>)</w:t>
            </w:r>
          </w:p>
        </w:tc>
      </w:tr>
      <w:tr w:rsidR="004556B8" w:rsidRPr="004556B8" w14:paraId="65B585D5" w14:textId="77777777" w:rsidTr="00353BF9">
        <w:trPr>
          <w:trHeight w:val="288"/>
        </w:trPr>
        <w:tc>
          <w:tcPr>
            <w:tcW w:w="4420" w:type="dxa"/>
            <w:shd w:val="clear" w:color="auto" w:fill="auto"/>
            <w:noWrap/>
            <w:vAlign w:val="bottom"/>
          </w:tcPr>
          <w:p w14:paraId="0E2B34A2" w14:textId="77777777" w:rsidR="004556B8" w:rsidRPr="004556B8" w:rsidRDefault="004556B8" w:rsidP="00662880">
            <w:pPr>
              <w:rPr>
                <w:rFonts w:cs="Arial"/>
                <w:color w:val="000000"/>
                <w:sz w:val="22"/>
                <w:szCs w:val="22"/>
                <w:lang w:eastAsia="en-GB"/>
              </w:rPr>
            </w:pPr>
          </w:p>
        </w:tc>
        <w:tc>
          <w:tcPr>
            <w:tcW w:w="1240" w:type="dxa"/>
            <w:shd w:val="clear" w:color="auto" w:fill="auto"/>
            <w:noWrap/>
            <w:vAlign w:val="bottom"/>
          </w:tcPr>
          <w:p w14:paraId="2A8EF050"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48A5EF26"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20D46697" w14:textId="77777777" w:rsidR="004556B8" w:rsidRPr="004556B8" w:rsidRDefault="004556B8" w:rsidP="00353BF9">
            <w:pPr>
              <w:jc w:val="right"/>
              <w:rPr>
                <w:sz w:val="22"/>
                <w:szCs w:val="22"/>
                <w:lang w:eastAsia="en-GB"/>
              </w:rPr>
            </w:pPr>
          </w:p>
        </w:tc>
        <w:tc>
          <w:tcPr>
            <w:tcW w:w="1240" w:type="dxa"/>
            <w:shd w:val="clear" w:color="auto" w:fill="auto"/>
            <w:noWrap/>
            <w:vAlign w:val="bottom"/>
          </w:tcPr>
          <w:p w14:paraId="0F7063E8" w14:textId="77777777" w:rsidR="004556B8" w:rsidRPr="004556B8" w:rsidRDefault="004556B8" w:rsidP="00353BF9">
            <w:pPr>
              <w:jc w:val="right"/>
              <w:rPr>
                <w:sz w:val="22"/>
                <w:szCs w:val="22"/>
                <w:lang w:eastAsia="en-GB"/>
              </w:rPr>
            </w:pPr>
          </w:p>
        </w:tc>
      </w:tr>
    </w:tbl>
    <w:p w14:paraId="3D832385" w14:textId="01F2D340" w:rsidR="00714164" w:rsidRPr="008D6AFC" w:rsidRDefault="00902E5A" w:rsidP="008D6AFC">
      <w:pPr>
        <w:tabs>
          <w:tab w:val="left" w:pos="1260"/>
        </w:tabs>
        <w:autoSpaceDE w:val="0"/>
        <w:autoSpaceDN w:val="0"/>
        <w:adjustRightInd w:val="0"/>
        <w:ind w:left="1260" w:right="380" w:hanging="540"/>
        <w:jc w:val="both"/>
        <w:rPr>
          <w:rFonts w:cs="Arial"/>
        </w:rPr>
      </w:pPr>
      <w:r w:rsidRPr="004556B8">
        <w:rPr>
          <w:rFonts w:cs="Arial"/>
        </w:rPr>
        <w:tab/>
      </w:r>
      <w:r w:rsidRPr="004556B8">
        <w:rPr>
          <w:rFonts w:cs="Arial"/>
        </w:rPr>
        <w:tab/>
      </w:r>
    </w:p>
    <w:p w14:paraId="6AF673EA" w14:textId="77777777" w:rsidR="00714164" w:rsidRPr="004556B8" w:rsidRDefault="00390239" w:rsidP="00280593">
      <w:pPr>
        <w:autoSpaceDE w:val="0"/>
        <w:autoSpaceDN w:val="0"/>
        <w:adjustRightInd w:val="0"/>
        <w:ind w:left="567" w:right="380" w:hanging="567"/>
        <w:jc w:val="both"/>
        <w:rPr>
          <w:rFonts w:cs="Arial"/>
          <w:b/>
        </w:rPr>
      </w:pPr>
      <w:r>
        <w:rPr>
          <w:rFonts w:cs="Arial"/>
        </w:rPr>
        <w:t>69</w:t>
      </w:r>
      <w:r w:rsidR="00280593" w:rsidRPr="004556B8">
        <w:rPr>
          <w:rFonts w:cs="Arial"/>
        </w:rPr>
        <w:tab/>
      </w:r>
      <w:r w:rsidR="00A17A6E" w:rsidRPr="004556B8">
        <w:rPr>
          <w:rFonts w:cs="Arial"/>
        </w:rPr>
        <w:t xml:space="preserve">The Housing Revenue Account </w:t>
      </w:r>
      <w:r w:rsidR="000B3A3B">
        <w:rPr>
          <w:rFonts w:cs="Arial"/>
        </w:rPr>
        <w:t>currently</w:t>
      </w:r>
      <w:r w:rsidR="005E72C8">
        <w:rPr>
          <w:rFonts w:cs="Arial"/>
        </w:rPr>
        <w:t xml:space="preserve"> </w:t>
      </w:r>
      <w:r w:rsidR="00A17A6E" w:rsidRPr="004556B8">
        <w:rPr>
          <w:rFonts w:cs="Arial"/>
        </w:rPr>
        <w:t xml:space="preserve">shows a stable financial position over the next four years. </w:t>
      </w:r>
    </w:p>
    <w:p w14:paraId="0BC9C69B" w14:textId="77777777" w:rsidR="00714164" w:rsidRPr="004556B8" w:rsidRDefault="00714164" w:rsidP="002B7914">
      <w:pPr>
        <w:autoSpaceDE w:val="0"/>
        <w:autoSpaceDN w:val="0"/>
        <w:adjustRightInd w:val="0"/>
        <w:ind w:left="567" w:right="380"/>
        <w:jc w:val="both"/>
        <w:rPr>
          <w:rFonts w:cs="Arial"/>
          <w:b/>
        </w:rPr>
      </w:pPr>
    </w:p>
    <w:p w14:paraId="3F95F8F7" w14:textId="2736F21C" w:rsidR="00902E5A" w:rsidRPr="008D6AFC" w:rsidRDefault="00902E5A" w:rsidP="008D6AFC">
      <w:pPr>
        <w:spacing w:before="240" w:after="120"/>
        <w:outlineLvl w:val="0"/>
        <w:rPr>
          <w:b/>
          <w:color w:val="000000"/>
          <w:lang w:eastAsia="en-GB"/>
        </w:rPr>
      </w:pPr>
      <w:r w:rsidRPr="008D6AFC">
        <w:rPr>
          <w:b/>
          <w:color w:val="000000"/>
          <w:lang w:eastAsia="en-GB"/>
        </w:rPr>
        <w:t>Risk Implications</w:t>
      </w:r>
    </w:p>
    <w:p w14:paraId="777D0500" w14:textId="77777777" w:rsidR="00902E5A" w:rsidRPr="004556B8" w:rsidRDefault="00390239" w:rsidP="002B7914">
      <w:pPr>
        <w:autoSpaceDE w:val="0"/>
        <w:autoSpaceDN w:val="0"/>
        <w:adjustRightInd w:val="0"/>
        <w:ind w:left="567" w:right="380" w:hanging="567"/>
        <w:jc w:val="both"/>
      </w:pPr>
      <w:r>
        <w:t>70</w:t>
      </w:r>
      <w:r w:rsidR="00902E5A" w:rsidRPr="004556B8">
        <w:tab/>
        <w:t xml:space="preserve">The main risks to the balanced position of </w:t>
      </w:r>
      <w:r w:rsidR="00921B4B" w:rsidRPr="004556B8">
        <w:t xml:space="preserve">HRA </w:t>
      </w:r>
      <w:r w:rsidR="00C35200" w:rsidRPr="004556B8">
        <w:t>are</w:t>
      </w:r>
      <w:r w:rsidR="009D4B73" w:rsidRPr="004556B8">
        <w:t xml:space="preserve"> </w:t>
      </w:r>
      <w:r w:rsidR="00AB541D" w:rsidRPr="004556B8">
        <w:t>summarised below</w:t>
      </w:r>
      <w:r w:rsidR="00496A88" w:rsidRPr="004556B8">
        <w:t xml:space="preserve"> </w:t>
      </w:r>
      <w:r w:rsidR="002441B3" w:rsidRPr="004556B8">
        <w:t>and detailed</w:t>
      </w:r>
      <w:r w:rsidR="00921B4B" w:rsidRPr="004556B8">
        <w:t xml:space="preserve"> in </w:t>
      </w:r>
      <w:r w:rsidR="00902E5A" w:rsidRPr="004556B8">
        <w:t xml:space="preserve">Appendix </w:t>
      </w:r>
      <w:r w:rsidR="00823B6F" w:rsidRPr="004556B8">
        <w:t>8</w:t>
      </w:r>
      <w:r w:rsidR="00AB541D" w:rsidRPr="004556B8">
        <w:t>:</w:t>
      </w:r>
    </w:p>
    <w:p w14:paraId="1235D913" w14:textId="77777777" w:rsidR="00D06890" w:rsidRPr="004556B8" w:rsidRDefault="00D06890" w:rsidP="002B7914">
      <w:pPr>
        <w:autoSpaceDE w:val="0"/>
        <w:autoSpaceDN w:val="0"/>
        <w:adjustRightInd w:val="0"/>
        <w:ind w:left="567" w:right="380" w:hanging="567"/>
        <w:jc w:val="both"/>
      </w:pPr>
    </w:p>
    <w:p w14:paraId="36D55BFC" w14:textId="77777777" w:rsidR="00D06890" w:rsidRDefault="00D06890" w:rsidP="00302C27">
      <w:pPr>
        <w:numPr>
          <w:ilvl w:val="1"/>
          <w:numId w:val="4"/>
        </w:numPr>
        <w:tabs>
          <w:tab w:val="clear" w:pos="2160"/>
          <w:tab w:val="num" w:pos="851"/>
        </w:tabs>
        <w:autoSpaceDE w:val="0"/>
        <w:autoSpaceDN w:val="0"/>
        <w:adjustRightInd w:val="0"/>
        <w:ind w:left="851" w:right="380" w:hanging="284"/>
        <w:jc w:val="both"/>
        <w:rPr>
          <w:rFonts w:cs="Arial"/>
        </w:rPr>
      </w:pPr>
      <w:r w:rsidRPr="004556B8">
        <w:rPr>
          <w:rFonts w:cs="Arial"/>
        </w:rPr>
        <w:t>Liability ar</w:t>
      </w:r>
      <w:r w:rsidR="000F525A" w:rsidRPr="004556B8">
        <w:rPr>
          <w:rFonts w:cs="Arial"/>
        </w:rPr>
        <w:t>i</w:t>
      </w:r>
      <w:r w:rsidRPr="004556B8">
        <w:rPr>
          <w:rFonts w:cs="Arial"/>
        </w:rPr>
        <w:t xml:space="preserve">sing from </w:t>
      </w:r>
      <w:r w:rsidR="00C35200" w:rsidRPr="004556B8">
        <w:rPr>
          <w:rFonts w:cs="Arial"/>
        </w:rPr>
        <w:t>hig</w:t>
      </w:r>
      <w:r w:rsidR="00280593" w:rsidRPr="004556B8">
        <w:rPr>
          <w:rFonts w:cs="Arial"/>
        </w:rPr>
        <w:t xml:space="preserve">h </w:t>
      </w:r>
      <w:r w:rsidR="00C35200" w:rsidRPr="004556B8">
        <w:rPr>
          <w:rFonts w:cs="Arial"/>
        </w:rPr>
        <w:t>v</w:t>
      </w:r>
      <w:r w:rsidR="00280593" w:rsidRPr="004556B8">
        <w:rPr>
          <w:rFonts w:cs="Arial"/>
        </w:rPr>
        <w:t xml:space="preserve">alue </w:t>
      </w:r>
      <w:r w:rsidR="00C35200" w:rsidRPr="004556B8">
        <w:rPr>
          <w:rFonts w:cs="Arial"/>
        </w:rPr>
        <w:t>voids levy</w:t>
      </w:r>
      <w:r w:rsidRPr="004556B8">
        <w:rPr>
          <w:rFonts w:cs="Arial"/>
        </w:rPr>
        <w:t xml:space="preserve"> is more than estimated</w:t>
      </w:r>
    </w:p>
    <w:p w14:paraId="3236A139" w14:textId="77777777" w:rsidR="005E72C8" w:rsidRPr="004556B8" w:rsidRDefault="005E72C8" w:rsidP="00302C27">
      <w:pPr>
        <w:numPr>
          <w:ilvl w:val="1"/>
          <w:numId w:val="4"/>
        </w:numPr>
        <w:tabs>
          <w:tab w:val="clear" w:pos="2160"/>
          <w:tab w:val="num" w:pos="851"/>
        </w:tabs>
        <w:autoSpaceDE w:val="0"/>
        <w:autoSpaceDN w:val="0"/>
        <w:adjustRightInd w:val="0"/>
        <w:ind w:left="851" w:right="380" w:hanging="284"/>
        <w:jc w:val="both"/>
        <w:rPr>
          <w:rFonts w:cs="Arial"/>
        </w:rPr>
      </w:pPr>
      <w:r>
        <w:rPr>
          <w:rFonts w:cs="Arial"/>
        </w:rPr>
        <w:t>Guideline rent increase from 2020/21 is mandatory</w:t>
      </w:r>
    </w:p>
    <w:p w14:paraId="74D3D6E7" w14:textId="77777777" w:rsidR="00902E5A" w:rsidRPr="004556B8" w:rsidRDefault="00902E5A" w:rsidP="00302C27">
      <w:pPr>
        <w:numPr>
          <w:ilvl w:val="1"/>
          <w:numId w:val="4"/>
        </w:numPr>
        <w:tabs>
          <w:tab w:val="clear" w:pos="2160"/>
          <w:tab w:val="num" w:pos="851"/>
        </w:tabs>
        <w:autoSpaceDE w:val="0"/>
        <w:autoSpaceDN w:val="0"/>
        <w:adjustRightInd w:val="0"/>
        <w:ind w:left="851" w:right="380" w:hanging="284"/>
        <w:jc w:val="both"/>
        <w:rPr>
          <w:rFonts w:cs="Arial"/>
        </w:rPr>
      </w:pPr>
      <w:r w:rsidRPr="004556B8">
        <w:rPr>
          <w:rFonts w:cs="Arial"/>
        </w:rPr>
        <w:t xml:space="preserve">Increased arrears due to </w:t>
      </w:r>
      <w:r w:rsidR="002468A6" w:rsidRPr="004556B8">
        <w:rPr>
          <w:rFonts w:cs="Arial"/>
        </w:rPr>
        <w:t xml:space="preserve">benefit changes </w:t>
      </w:r>
      <w:r w:rsidR="00921B4B" w:rsidRPr="004556B8">
        <w:rPr>
          <w:rFonts w:cs="Arial"/>
        </w:rPr>
        <w:t xml:space="preserve">arising from the roll out of </w:t>
      </w:r>
      <w:r w:rsidR="002441B3" w:rsidRPr="004556B8">
        <w:rPr>
          <w:rFonts w:cs="Arial"/>
        </w:rPr>
        <w:t>Universal Credit</w:t>
      </w:r>
    </w:p>
    <w:p w14:paraId="7DE85BE4" w14:textId="77777777" w:rsidR="00902E5A" w:rsidRPr="004556B8" w:rsidRDefault="00902E5A" w:rsidP="00302C27">
      <w:pPr>
        <w:numPr>
          <w:ilvl w:val="1"/>
          <w:numId w:val="4"/>
        </w:numPr>
        <w:tabs>
          <w:tab w:val="clear" w:pos="2160"/>
          <w:tab w:val="num" w:pos="851"/>
        </w:tabs>
        <w:autoSpaceDE w:val="0"/>
        <w:autoSpaceDN w:val="0"/>
        <w:adjustRightInd w:val="0"/>
        <w:ind w:left="851" w:right="380" w:hanging="284"/>
        <w:jc w:val="both"/>
        <w:rPr>
          <w:rFonts w:cs="Arial"/>
        </w:rPr>
      </w:pPr>
      <w:r w:rsidRPr="004556B8">
        <w:rPr>
          <w:rFonts w:cs="Arial"/>
        </w:rPr>
        <w:t xml:space="preserve">Non-achievement of </w:t>
      </w:r>
      <w:r w:rsidR="002468A6" w:rsidRPr="004556B8">
        <w:rPr>
          <w:rFonts w:cs="Arial"/>
        </w:rPr>
        <w:t xml:space="preserve">assumed </w:t>
      </w:r>
      <w:r w:rsidRPr="004556B8">
        <w:rPr>
          <w:rFonts w:cs="Arial"/>
        </w:rPr>
        <w:t>R</w:t>
      </w:r>
      <w:r w:rsidR="002468A6" w:rsidRPr="004556B8">
        <w:rPr>
          <w:rFonts w:cs="Arial"/>
        </w:rPr>
        <w:t xml:space="preserve">ight </w:t>
      </w:r>
      <w:r w:rsidR="00C92C17" w:rsidRPr="004556B8">
        <w:rPr>
          <w:rFonts w:cs="Arial"/>
        </w:rPr>
        <w:t>t</w:t>
      </w:r>
      <w:r w:rsidR="002468A6" w:rsidRPr="004556B8">
        <w:rPr>
          <w:rFonts w:cs="Arial"/>
        </w:rPr>
        <w:t xml:space="preserve">o </w:t>
      </w:r>
      <w:r w:rsidRPr="004556B8">
        <w:rPr>
          <w:rFonts w:cs="Arial"/>
        </w:rPr>
        <w:t>B</w:t>
      </w:r>
      <w:r w:rsidR="002468A6" w:rsidRPr="004556B8">
        <w:rPr>
          <w:rFonts w:cs="Arial"/>
        </w:rPr>
        <w:t>uy</w:t>
      </w:r>
      <w:r w:rsidRPr="004556B8">
        <w:rPr>
          <w:rFonts w:cs="Arial"/>
        </w:rPr>
        <w:t xml:space="preserve"> sales now required to fund</w:t>
      </w:r>
      <w:r w:rsidR="003177DF" w:rsidRPr="004556B8">
        <w:rPr>
          <w:rFonts w:cs="Arial"/>
        </w:rPr>
        <w:t xml:space="preserve"> </w:t>
      </w:r>
      <w:r w:rsidRPr="004556B8">
        <w:rPr>
          <w:rFonts w:cs="Arial"/>
        </w:rPr>
        <w:t xml:space="preserve">increased capital spend commitments. </w:t>
      </w:r>
    </w:p>
    <w:p w14:paraId="561A4352" w14:textId="77777777" w:rsidR="00902E5A" w:rsidRPr="004556B8" w:rsidRDefault="00902E5A" w:rsidP="00302C27">
      <w:pPr>
        <w:numPr>
          <w:ilvl w:val="1"/>
          <w:numId w:val="4"/>
        </w:numPr>
        <w:tabs>
          <w:tab w:val="clear" w:pos="2160"/>
          <w:tab w:val="num" w:pos="851"/>
        </w:tabs>
        <w:autoSpaceDE w:val="0"/>
        <w:autoSpaceDN w:val="0"/>
        <w:adjustRightInd w:val="0"/>
        <w:ind w:left="851" w:right="380" w:hanging="284"/>
        <w:jc w:val="both"/>
        <w:rPr>
          <w:rFonts w:cs="Arial"/>
        </w:rPr>
      </w:pPr>
      <w:r w:rsidRPr="004556B8">
        <w:rPr>
          <w:rFonts w:cs="Arial"/>
        </w:rPr>
        <w:t>Non-achievement of planned effici</w:t>
      </w:r>
      <w:r w:rsidR="005E72C8">
        <w:rPr>
          <w:rFonts w:cs="Arial"/>
        </w:rPr>
        <w:t>encies and cost overruns</w:t>
      </w:r>
    </w:p>
    <w:p w14:paraId="4895869E" w14:textId="77777777" w:rsidR="00921B4B" w:rsidRDefault="00921B4B" w:rsidP="00302C27">
      <w:pPr>
        <w:numPr>
          <w:ilvl w:val="1"/>
          <w:numId w:val="4"/>
        </w:numPr>
        <w:tabs>
          <w:tab w:val="clear" w:pos="2160"/>
          <w:tab w:val="num" w:pos="851"/>
        </w:tabs>
        <w:autoSpaceDE w:val="0"/>
        <w:autoSpaceDN w:val="0"/>
        <w:adjustRightInd w:val="0"/>
        <w:ind w:left="851" w:right="380" w:hanging="284"/>
        <w:jc w:val="both"/>
        <w:rPr>
          <w:rFonts w:cs="Arial"/>
        </w:rPr>
      </w:pPr>
      <w:r w:rsidRPr="004556B8">
        <w:rPr>
          <w:rFonts w:cs="Arial"/>
        </w:rPr>
        <w:t>Variations in estimates causing cash flow problems</w:t>
      </w:r>
    </w:p>
    <w:p w14:paraId="6BB8AFA3" w14:textId="77777777" w:rsidR="008D6AFC" w:rsidRDefault="008D6AFC" w:rsidP="008D6AFC">
      <w:pPr>
        <w:autoSpaceDE w:val="0"/>
        <w:autoSpaceDN w:val="0"/>
        <w:adjustRightInd w:val="0"/>
        <w:ind w:left="851" w:right="380"/>
        <w:jc w:val="both"/>
        <w:rPr>
          <w:rFonts w:cs="Arial"/>
        </w:rPr>
      </w:pPr>
    </w:p>
    <w:p w14:paraId="3DDBE0CA" w14:textId="306B3A17" w:rsidR="002719F1" w:rsidRPr="002D462C" w:rsidRDefault="002719F1" w:rsidP="002D462C">
      <w:pPr>
        <w:ind w:left="567" w:right="386" w:hanging="567"/>
        <w:jc w:val="both"/>
        <w:rPr>
          <w:b/>
          <w:sz w:val="28"/>
          <w:szCs w:val="28"/>
        </w:rPr>
      </w:pPr>
      <w:r w:rsidRPr="007704A0">
        <w:rPr>
          <w:b/>
          <w:sz w:val="28"/>
          <w:szCs w:val="28"/>
        </w:rPr>
        <w:t xml:space="preserve">Section D Capital </w:t>
      </w:r>
      <w:r w:rsidR="002468A6" w:rsidRPr="007704A0">
        <w:rPr>
          <w:b/>
          <w:sz w:val="28"/>
          <w:szCs w:val="28"/>
        </w:rPr>
        <w:t>Programme</w:t>
      </w:r>
    </w:p>
    <w:p w14:paraId="374B8930" w14:textId="77777777" w:rsidR="002719F1" w:rsidRPr="008D6AFC" w:rsidRDefault="002719F1" w:rsidP="008D6AFC">
      <w:pPr>
        <w:spacing w:before="240" w:after="120"/>
        <w:outlineLvl w:val="0"/>
        <w:rPr>
          <w:b/>
          <w:color w:val="000000"/>
          <w:lang w:eastAsia="en-GB"/>
        </w:rPr>
      </w:pPr>
      <w:r w:rsidRPr="008D6AFC">
        <w:rPr>
          <w:b/>
          <w:color w:val="000000"/>
          <w:lang w:eastAsia="en-GB"/>
        </w:rPr>
        <w:t>General Fund Capital Programme</w:t>
      </w:r>
    </w:p>
    <w:p w14:paraId="22379CF0" w14:textId="5DCA2E9E" w:rsidR="005042FB" w:rsidRPr="007704A0" w:rsidRDefault="00390239" w:rsidP="002D462C">
      <w:pPr>
        <w:pStyle w:val="Default"/>
        <w:ind w:left="567" w:right="386" w:hanging="567"/>
        <w:jc w:val="both"/>
      </w:pPr>
      <w:r>
        <w:t>71</w:t>
      </w:r>
      <w:r w:rsidR="0080626D" w:rsidRPr="007704A0">
        <w:tab/>
      </w:r>
      <w:r w:rsidR="002719F1" w:rsidRPr="007704A0">
        <w:t>The proposed General Fund</w:t>
      </w:r>
      <w:r w:rsidR="00313BDC">
        <w:rPr>
          <w:lang w:val="en-GB"/>
        </w:rPr>
        <w:t xml:space="preserve"> Capital </w:t>
      </w:r>
      <w:proofErr w:type="spellStart"/>
      <w:r w:rsidR="002719F1" w:rsidRPr="007704A0">
        <w:t>Programme</w:t>
      </w:r>
      <w:proofErr w:type="spellEnd"/>
      <w:r w:rsidR="002719F1" w:rsidRPr="007704A0">
        <w:t xml:space="preserve"> </w:t>
      </w:r>
      <w:r w:rsidR="00C73BD1" w:rsidRPr="007704A0">
        <w:t xml:space="preserve">shown in Appendix </w:t>
      </w:r>
      <w:r w:rsidR="00823B6F" w:rsidRPr="007704A0">
        <w:t xml:space="preserve">6 </w:t>
      </w:r>
      <w:r w:rsidR="00344149">
        <w:rPr>
          <w:lang w:val="en-GB"/>
        </w:rPr>
        <w:t>totals</w:t>
      </w:r>
      <w:r w:rsidR="002719F1" w:rsidRPr="007704A0">
        <w:t xml:space="preserve"> £</w:t>
      </w:r>
      <w:r w:rsidR="00E12325">
        <w:t>146</w:t>
      </w:r>
      <w:r w:rsidR="002719F1" w:rsidRPr="007704A0">
        <w:t xml:space="preserve"> million over the four year period</w:t>
      </w:r>
      <w:r w:rsidR="007B0493" w:rsidRPr="007704A0">
        <w:t xml:space="preserve">.  </w:t>
      </w:r>
      <w:r w:rsidR="00F62CC6">
        <w:rPr>
          <w:lang w:val="en-GB"/>
        </w:rPr>
        <w:t xml:space="preserve">New bids included within the Programme are set out in Table 9 </w:t>
      </w:r>
      <w:proofErr w:type="gramStart"/>
      <w:r w:rsidR="00F62CC6">
        <w:rPr>
          <w:lang w:val="en-GB"/>
        </w:rPr>
        <w:t>below</w:t>
      </w:r>
      <w:r w:rsidR="00E12325">
        <w:t xml:space="preserve"> </w:t>
      </w:r>
      <w:r w:rsidR="007C1D05" w:rsidRPr="007704A0">
        <w:t>:</w:t>
      </w:r>
      <w:proofErr w:type="gramEnd"/>
    </w:p>
    <w:p w14:paraId="50248916" w14:textId="77777777" w:rsidR="00D0012F" w:rsidRPr="005A1BBF" w:rsidRDefault="00D0012F" w:rsidP="0080626D">
      <w:pPr>
        <w:pStyle w:val="Default"/>
        <w:ind w:left="567" w:right="386" w:hanging="567"/>
        <w:jc w:val="both"/>
      </w:pPr>
      <w:r w:rsidRPr="005A1BBF">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377"/>
        <w:gridCol w:w="1427"/>
        <w:gridCol w:w="1400"/>
        <w:gridCol w:w="1415"/>
      </w:tblGrid>
      <w:tr w:rsidR="00603607" w:rsidRPr="00580904" w14:paraId="7256FF4F" w14:textId="77777777" w:rsidTr="002D462C">
        <w:tc>
          <w:tcPr>
            <w:tcW w:w="9320" w:type="dxa"/>
            <w:gridSpan w:val="5"/>
            <w:shd w:val="clear" w:color="auto" w:fill="auto"/>
          </w:tcPr>
          <w:p w14:paraId="24ABEAAF" w14:textId="77777777" w:rsidR="00603607" w:rsidRPr="00580904" w:rsidRDefault="00603607" w:rsidP="0010427B">
            <w:pPr>
              <w:pStyle w:val="Default"/>
              <w:ind w:right="123"/>
              <w:rPr>
                <w:b/>
              </w:rPr>
            </w:pPr>
            <w:r w:rsidRPr="005A1BBF">
              <w:rPr>
                <w:b/>
              </w:rPr>
              <w:t xml:space="preserve">Table </w:t>
            </w:r>
            <w:r w:rsidR="008E66A7">
              <w:rPr>
                <w:b/>
              </w:rPr>
              <w:t>9</w:t>
            </w:r>
            <w:r w:rsidR="0010427B" w:rsidRPr="005A1BBF">
              <w:rPr>
                <w:b/>
              </w:rPr>
              <w:t xml:space="preserve"> </w:t>
            </w:r>
            <w:r w:rsidRPr="005A1BBF">
              <w:rPr>
                <w:b/>
              </w:rPr>
              <w:t xml:space="preserve">: </w:t>
            </w:r>
            <w:r w:rsidR="008663F4" w:rsidRPr="005A1BBF">
              <w:rPr>
                <w:b/>
              </w:rPr>
              <w:t xml:space="preserve">General Fund </w:t>
            </w:r>
            <w:r w:rsidR="0010427B" w:rsidRPr="005A1BBF">
              <w:rPr>
                <w:b/>
              </w:rPr>
              <w:t>Variations to Capital Budget</w:t>
            </w:r>
            <w:r w:rsidR="0010427B" w:rsidRPr="00580904">
              <w:rPr>
                <w:b/>
              </w:rPr>
              <w:t xml:space="preserve"> </w:t>
            </w:r>
          </w:p>
        </w:tc>
      </w:tr>
      <w:tr w:rsidR="00C5519D" w:rsidRPr="00580904" w14:paraId="61868945" w14:textId="77777777" w:rsidTr="002D462C">
        <w:tc>
          <w:tcPr>
            <w:tcW w:w="3701" w:type="dxa"/>
            <w:shd w:val="clear" w:color="auto" w:fill="auto"/>
          </w:tcPr>
          <w:p w14:paraId="0E8D5B56" w14:textId="77777777" w:rsidR="00C5519D" w:rsidRPr="00580904" w:rsidRDefault="00C5519D" w:rsidP="001A0059">
            <w:pPr>
              <w:pStyle w:val="Default"/>
              <w:ind w:right="386"/>
              <w:jc w:val="both"/>
            </w:pPr>
          </w:p>
        </w:tc>
        <w:tc>
          <w:tcPr>
            <w:tcW w:w="1377" w:type="dxa"/>
            <w:shd w:val="clear" w:color="auto" w:fill="BFBFBF"/>
          </w:tcPr>
          <w:p w14:paraId="5FF5996E" w14:textId="77777777" w:rsidR="00C5519D" w:rsidRPr="00580904" w:rsidRDefault="00C5519D" w:rsidP="00603607">
            <w:pPr>
              <w:pStyle w:val="Default"/>
              <w:ind w:right="34"/>
              <w:jc w:val="center"/>
              <w:rPr>
                <w:b/>
              </w:rPr>
            </w:pPr>
            <w:r w:rsidRPr="00580904">
              <w:rPr>
                <w:b/>
              </w:rPr>
              <w:t>2018/19</w:t>
            </w:r>
          </w:p>
        </w:tc>
        <w:tc>
          <w:tcPr>
            <w:tcW w:w="1427" w:type="dxa"/>
            <w:shd w:val="clear" w:color="auto" w:fill="BFBFBF"/>
          </w:tcPr>
          <w:p w14:paraId="6C0BEAB9" w14:textId="77777777" w:rsidR="00C5519D" w:rsidRPr="00580904" w:rsidRDefault="00C5519D" w:rsidP="00603607">
            <w:pPr>
              <w:pStyle w:val="Default"/>
              <w:ind w:right="123"/>
              <w:jc w:val="center"/>
              <w:rPr>
                <w:b/>
              </w:rPr>
            </w:pPr>
            <w:r w:rsidRPr="00580904">
              <w:rPr>
                <w:b/>
              </w:rPr>
              <w:t>2019/20</w:t>
            </w:r>
          </w:p>
        </w:tc>
        <w:tc>
          <w:tcPr>
            <w:tcW w:w="1400" w:type="dxa"/>
            <w:shd w:val="clear" w:color="auto" w:fill="BFBFBF"/>
          </w:tcPr>
          <w:p w14:paraId="2038AC47" w14:textId="77777777" w:rsidR="00C5519D" w:rsidRPr="00580904" w:rsidRDefault="00C5519D" w:rsidP="00603607">
            <w:pPr>
              <w:pStyle w:val="Default"/>
              <w:ind w:right="123"/>
              <w:jc w:val="center"/>
              <w:rPr>
                <w:b/>
              </w:rPr>
            </w:pPr>
            <w:r w:rsidRPr="00580904">
              <w:rPr>
                <w:b/>
              </w:rPr>
              <w:t>2020/21</w:t>
            </w:r>
          </w:p>
        </w:tc>
        <w:tc>
          <w:tcPr>
            <w:tcW w:w="1415" w:type="dxa"/>
            <w:shd w:val="clear" w:color="auto" w:fill="BFBFBF"/>
          </w:tcPr>
          <w:p w14:paraId="3935D704" w14:textId="77777777" w:rsidR="00C5519D" w:rsidRPr="00580904" w:rsidRDefault="00C5519D" w:rsidP="00C5519D">
            <w:pPr>
              <w:pStyle w:val="Default"/>
              <w:ind w:right="123"/>
              <w:jc w:val="center"/>
              <w:rPr>
                <w:b/>
              </w:rPr>
            </w:pPr>
            <w:r w:rsidRPr="00580904">
              <w:rPr>
                <w:b/>
              </w:rPr>
              <w:t>2021/22</w:t>
            </w:r>
          </w:p>
        </w:tc>
      </w:tr>
      <w:tr w:rsidR="00C5519D" w:rsidRPr="00580904" w14:paraId="187190C8" w14:textId="77777777" w:rsidTr="002D462C">
        <w:tc>
          <w:tcPr>
            <w:tcW w:w="3701" w:type="dxa"/>
            <w:shd w:val="clear" w:color="auto" w:fill="auto"/>
          </w:tcPr>
          <w:p w14:paraId="014D0D96" w14:textId="77777777" w:rsidR="00C5519D" w:rsidRPr="00580904" w:rsidRDefault="00C5519D" w:rsidP="001A0059">
            <w:pPr>
              <w:pStyle w:val="Default"/>
              <w:ind w:right="386"/>
              <w:jc w:val="both"/>
            </w:pPr>
          </w:p>
        </w:tc>
        <w:tc>
          <w:tcPr>
            <w:tcW w:w="1377" w:type="dxa"/>
            <w:shd w:val="clear" w:color="auto" w:fill="BFBFBF"/>
          </w:tcPr>
          <w:p w14:paraId="040EEE17" w14:textId="77777777" w:rsidR="00C5519D" w:rsidRPr="00580904" w:rsidRDefault="00C5519D" w:rsidP="00603607">
            <w:pPr>
              <w:pStyle w:val="Default"/>
              <w:ind w:right="34"/>
              <w:jc w:val="center"/>
              <w:rPr>
                <w:b/>
              </w:rPr>
            </w:pPr>
            <w:r w:rsidRPr="00580904">
              <w:rPr>
                <w:b/>
              </w:rPr>
              <w:t>£000’s</w:t>
            </w:r>
          </w:p>
        </w:tc>
        <w:tc>
          <w:tcPr>
            <w:tcW w:w="1427" w:type="dxa"/>
            <w:shd w:val="clear" w:color="auto" w:fill="BFBFBF"/>
          </w:tcPr>
          <w:p w14:paraId="4BD09D7B" w14:textId="77777777" w:rsidR="00C5519D" w:rsidRPr="00580904" w:rsidRDefault="00C5519D" w:rsidP="00603607">
            <w:pPr>
              <w:pStyle w:val="Default"/>
              <w:ind w:right="123"/>
              <w:jc w:val="center"/>
              <w:rPr>
                <w:b/>
              </w:rPr>
            </w:pPr>
            <w:r w:rsidRPr="00580904">
              <w:rPr>
                <w:b/>
              </w:rPr>
              <w:t>£000’s</w:t>
            </w:r>
          </w:p>
        </w:tc>
        <w:tc>
          <w:tcPr>
            <w:tcW w:w="1400" w:type="dxa"/>
            <w:shd w:val="clear" w:color="auto" w:fill="BFBFBF"/>
          </w:tcPr>
          <w:p w14:paraId="1D3654B4" w14:textId="77777777" w:rsidR="00C5519D" w:rsidRPr="00580904" w:rsidRDefault="00C5519D" w:rsidP="00603607">
            <w:pPr>
              <w:pStyle w:val="Default"/>
              <w:ind w:right="123"/>
              <w:jc w:val="center"/>
              <w:rPr>
                <w:b/>
              </w:rPr>
            </w:pPr>
            <w:r w:rsidRPr="00580904">
              <w:rPr>
                <w:b/>
              </w:rPr>
              <w:t>£000’s</w:t>
            </w:r>
          </w:p>
        </w:tc>
        <w:tc>
          <w:tcPr>
            <w:tcW w:w="1415" w:type="dxa"/>
            <w:shd w:val="clear" w:color="auto" w:fill="BFBFBF"/>
          </w:tcPr>
          <w:p w14:paraId="485C4FE3" w14:textId="77777777" w:rsidR="00C5519D" w:rsidRPr="00580904" w:rsidRDefault="00C5519D" w:rsidP="00603607">
            <w:pPr>
              <w:pStyle w:val="Default"/>
              <w:ind w:right="123"/>
              <w:jc w:val="center"/>
              <w:rPr>
                <w:b/>
              </w:rPr>
            </w:pPr>
            <w:r w:rsidRPr="00580904">
              <w:rPr>
                <w:b/>
              </w:rPr>
              <w:t>£000’s</w:t>
            </w:r>
          </w:p>
        </w:tc>
      </w:tr>
      <w:tr w:rsidR="00C5519D" w:rsidRPr="00580904" w14:paraId="1CEE57C9" w14:textId="77777777" w:rsidTr="002D462C">
        <w:tc>
          <w:tcPr>
            <w:tcW w:w="3701" w:type="dxa"/>
            <w:shd w:val="clear" w:color="auto" w:fill="auto"/>
          </w:tcPr>
          <w:p w14:paraId="57CC0FE9" w14:textId="77777777" w:rsidR="00C5519D" w:rsidRPr="00580904" w:rsidRDefault="00C5519D" w:rsidP="001A0059">
            <w:pPr>
              <w:pStyle w:val="Default"/>
              <w:ind w:right="386"/>
              <w:jc w:val="both"/>
              <w:rPr>
                <w:b/>
              </w:rPr>
            </w:pPr>
            <w:r w:rsidRPr="00580904">
              <w:rPr>
                <w:b/>
              </w:rPr>
              <w:t>New Bids</w:t>
            </w:r>
          </w:p>
        </w:tc>
        <w:tc>
          <w:tcPr>
            <w:tcW w:w="1377" w:type="dxa"/>
            <w:shd w:val="clear" w:color="auto" w:fill="auto"/>
          </w:tcPr>
          <w:p w14:paraId="4A8B53E2" w14:textId="77777777" w:rsidR="00C5519D" w:rsidRPr="00580904" w:rsidRDefault="00C5519D" w:rsidP="001A0059">
            <w:pPr>
              <w:pStyle w:val="Default"/>
              <w:ind w:right="386"/>
              <w:jc w:val="right"/>
            </w:pPr>
          </w:p>
        </w:tc>
        <w:tc>
          <w:tcPr>
            <w:tcW w:w="1427" w:type="dxa"/>
            <w:shd w:val="clear" w:color="auto" w:fill="auto"/>
          </w:tcPr>
          <w:p w14:paraId="5E1DD0B4" w14:textId="77777777" w:rsidR="00C5519D" w:rsidRPr="00580904" w:rsidRDefault="00C5519D" w:rsidP="00603607">
            <w:pPr>
              <w:pStyle w:val="Default"/>
              <w:jc w:val="right"/>
            </w:pPr>
          </w:p>
        </w:tc>
        <w:tc>
          <w:tcPr>
            <w:tcW w:w="1400" w:type="dxa"/>
            <w:shd w:val="clear" w:color="auto" w:fill="auto"/>
          </w:tcPr>
          <w:p w14:paraId="38DC6DCC" w14:textId="77777777" w:rsidR="00C5519D" w:rsidRPr="00580904" w:rsidRDefault="00C5519D" w:rsidP="00603607">
            <w:pPr>
              <w:pStyle w:val="Default"/>
              <w:ind w:right="34"/>
              <w:jc w:val="right"/>
            </w:pPr>
          </w:p>
        </w:tc>
        <w:tc>
          <w:tcPr>
            <w:tcW w:w="1415" w:type="dxa"/>
            <w:shd w:val="clear" w:color="auto" w:fill="auto"/>
          </w:tcPr>
          <w:p w14:paraId="7B6CEDDE" w14:textId="77777777" w:rsidR="00C5519D" w:rsidRPr="00580904" w:rsidRDefault="00C5519D" w:rsidP="00603607">
            <w:pPr>
              <w:pStyle w:val="Default"/>
              <w:jc w:val="right"/>
            </w:pPr>
          </w:p>
        </w:tc>
      </w:tr>
      <w:tr w:rsidR="00C5519D" w:rsidRPr="00580904" w14:paraId="39B81622" w14:textId="77777777" w:rsidTr="002D462C">
        <w:tc>
          <w:tcPr>
            <w:tcW w:w="3701" w:type="dxa"/>
            <w:shd w:val="clear" w:color="auto" w:fill="auto"/>
          </w:tcPr>
          <w:p w14:paraId="7EAA707D" w14:textId="77777777" w:rsidR="00C5519D" w:rsidRPr="00580904" w:rsidRDefault="00C5519D" w:rsidP="001A0059">
            <w:pPr>
              <w:pStyle w:val="Default"/>
              <w:ind w:right="386"/>
              <w:jc w:val="both"/>
            </w:pPr>
            <w:r w:rsidRPr="00580904">
              <w:t>National Homeless Property Fund</w:t>
            </w:r>
            <w:r w:rsidR="000F4333">
              <w:t xml:space="preserve"> </w:t>
            </w:r>
            <w:r w:rsidR="000F4333" w:rsidRPr="00E12325">
              <w:rPr>
                <w:b/>
              </w:rPr>
              <w:t>(1)</w:t>
            </w:r>
          </w:p>
        </w:tc>
        <w:tc>
          <w:tcPr>
            <w:tcW w:w="1377" w:type="dxa"/>
            <w:shd w:val="clear" w:color="auto" w:fill="auto"/>
          </w:tcPr>
          <w:p w14:paraId="6BAA6DA2" w14:textId="77777777" w:rsidR="00C5519D" w:rsidRPr="00580904" w:rsidRDefault="005E72C8" w:rsidP="00603607">
            <w:pPr>
              <w:pStyle w:val="Default"/>
              <w:jc w:val="right"/>
            </w:pPr>
            <w:r>
              <w:t>2,500</w:t>
            </w:r>
          </w:p>
        </w:tc>
        <w:tc>
          <w:tcPr>
            <w:tcW w:w="1427" w:type="dxa"/>
            <w:shd w:val="clear" w:color="auto" w:fill="auto"/>
          </w:tcPr>
          <w:p w14:paraId="043CD45E" w14:textId="77777777" w:rsidR="00C5519D" w:rsidRPr="00580904" w:rsidRDefault="005E72C8" w:rsidP="00603607">
            <w:pPr>
              <w:pStyle w:val="Default"/>
              <w:jc w:val="right"/>
            </w:pPr>
            <w:r>
              <w:t>2,500</w:t>
            </w:r>
          </w:p>
        </w:tc>
        <w:tc>
          <w:tcPr>
            <w:tcW w:w="1400" w:type="dxa"/>
            <w:shd w:val="clear" w:color="auto" w:fill="auto"/>
          </w:tcPr>
          <w:p w14:paraId="2CABDF02" w14:textId="77777777" w:rsidR="00C5519D" w:rsidRPr="00580904" w:rsidRDefault="00C5519D" w:rsidP="00603607">
            <w:pPr>
              <w:pStyle w:val="Default"/>
              <w:ind w:right="34"/>
              <w:jc w:val="right"/>
            </w:pPr>
          </w:p>
        </w:tc>
        <w:tc>
          <w:tcPr>
            <w:tcW w:w="1415" w:type="dxa"/>
            <w:shd w:val="clear" w:color="auto" w:fill="auto"/>
          </w:tcPr>
          <w:p w14:paraId="589726CB" w14:textId="77777777" w:rsidR="00C5519D" w:rsidRPr="00580904" w:rsidRDefault="00C5519D" w:rsidP="00603607">
            <w:pPr>
              <w:pStyle w:val="Default"/>
              <w:jc w:val="right"/>
            </w:pPr>
          </w:p>
        </w:tc>
      </w:tr>
      <w:tr w:rsidR="00C5519D" w:rsidRPr="00580904" w14:paraId="6C665725" w14:textId="77777777" w:rsidTr="002D462C">
        <w:tc>
          <w:tcPr>
            <w:tcW w:w="3701" w:type="dxa"/>
            <w:shd w:val="clear" w:color="auto" w:fill="auto"/>
          </w:tcPr>
          <w:p w14:paraId="6635EEC4" w14:textId="77777777" w:rsidR="00C5519D" w:rsidRPr="00580904" w:rsidRDefault="00C5519D" w:rsidP="001A0059">
            <w:pPr>
              <w:pStyle w:val="Default"/>
              <w:ind w:right="386"/>
              <w:jc w:val="both"/>
            </w:pPr>
            <w:r w:rsidRPr="00580904">
              <w:t>Gloucester Green car park- Health and safety</w:t>
            </w:r>
          </w:p>
        </w:tc>
        <w:tc>
          <w:tcPr>
            <w:tcW w:w="1377" w:type="dxa"/>
            <w:shd w:val="clear" w:color="auto" w:fill="auto"/>
          </w:tcPr>
          <w:p w14:paraId="3E15BBEE" w14:textId="77777777" w:rsidR="00C5519D" w:rsidRPr="00580904" w:rsidRDefault="00C5519D" w:rsidP="00603607">
            <w:pPr>
              <w:pStyle w:val="Default"/>
              <w:ind w:right="34"/>
              <w:jc w:val="right"/>
            </w:pPr>
            <w:r w:rsidRPr="00580904">
              <w:t>195</w:t>
            </w:r>
          </w:p>
        </w:tc>
        <w:tc>
          <w:tcPr>
            <w:tcW w:w="1427" w:type="dxa"/>
            <w:shd w:val="clear" w:color="auto" w:fill="auto"/>
          </w:tcPr>
          <w:p w14:paraId="62D7746C" w14:textId="77777777" w:rsidR="00C5519D" w:rsidRPr="00580904" w:rsidRDefault="00C5519D" w:rsidP="00603607">
            <w:pPr>
              <w:pStyle w:val="Default"/>
              <w:jc w:val="right"/>
            </w:pPr>
          </w:p>
        </w:tc>
        <w:tc>
          <w:tcPr>
            <w:tcW w:w="1400" w:type="dxa"/>
            <w:shd w:val="clear" w:color="auto" w:fill="auto"/>
          </w:tcPr>
          <w:p w14:paraId="7E9A40B3" w14:textId="77777777" w:rsidR="00C5519D" w:rsidRPr="00580904" w:rsidRDefault="00C5519D" w:rsidP="00603607">
            <w:pPr>
              <w:pStyle w:val="Default"/>
              <w:ind w:right="34"/>
              <w:jc w:val="right"/>
            </w:pPr>
          </w:p>
        </w:tc>
        <w:tc>
          <w:tcPr>
            <w:tcW w:w="1415" w:type="dxa"/>
            <w:shd w:val="clear" w:color="auto" w:fill="auto"/>
          </w:tcPr>
          <w:p w14:paraId="7EB121B0" w14:textId="77777777" w:rsidR="00C5519D" w:rsidRPr="00580904" w:rsidRDefault="00C5519D" w:rsidP="00603607">
            <w:pPr>
              <w:pStyle w:val="Default"/>
              <w:jc w:val="right"/>
            </w:pPr>
          </w:p>
        </w:tc>
      </w:tr>
      <w:tr w:rsidR="00C5519D" w:rsidRPr="00580904" w14:paraId="59BE6EAE" w14:textId="77777777" w:rsidTr="002D462C">
        <w:tc>
          <w:tcPr>
            <w:tcW w:w="3701" w:type="dxa"/>
            <w:shd w:val="clear" w:color="auto" w:fill="auto"/>
          </w:tcPr>
          <w:p w14:paraId="2D2A0A2C" w14:textId="77777777" w:rsidR="00C5519D" w:rsidRPr="00580904" w:rsidRDefault="00C5519D" w:rsidP="001A0059">
            <w:pPr>
              <w:pStyle w:val="Default"/>
              <w:ind w:right="386"/>
              <w:jc w:val="both"/>
            </w:pPr>
            <w:r w:rsidRPr="00580904">
              <w:t>Covered market</w:t>
            </w:r>
            <w:r w:rsidR="00E12325">
              <w:t xml:space="preserve"> </w:t>
            </w:r>
            <w:r w:rsidR="00E12325" w:rsidRPr="00E12325">
              <w:rPr>
                <w:b/>
              </w:rPr>
              <w:t>(2)</w:t>
            </w:r>
          </w:p>
        </w:tc>
        <w:tc>
          <w:tcPr>
            <w:tcW w:w="1377" w:type="dxa"/>
            <w:shd w:val="clear" w:color="auto" w:fill="auto"/>
          </w:tcPr>
          <w:p w14:paraId="40D50AD5" w14:textId="77777777" w:rsidR="00C5519D" w:rsidRPr="00580904" w:rsidRDefault="00C5519D" w:rsidP="00603607">
            <w:pPr>
              <w:pStyle w:val="Default"/>
              <w:ind w:right="34"/>
              <w:jc w:val="right"/>
            </w:pPr>
            <w:r w:rsidRPr="00580904">
              <w:t>400</w:t>
            </w:r>
          </w:p>
        </w:tc>
        <w:tc>
          <w:tcPr>
            <w:tcW w:w="1427" w:type="dxa"/>
            <w:shd w:val="clear" w:color="auto" w:fill="auto"/>
          </w:tcPr>
          <w:p w14:paraId="480D66D8" w14:textId="77777777" w:rsidR="00C5519D" w:rsidRPr="00580904" w:rsidRDefault="00C5519D" w:rsidP="00603607">
            <w:pPr>
              <w:pStyle w:val="Default"/>
              <w:jc w:val="right"/>
            </w:pPr>
            <w:r w:rsidRPr="00580904">
              <w:t>400</w:t>
            </w:r>
          </w:p>
        </w:tc>
        <w:tc>
          <w:tcPr>
            <w:tcW w:w="1400" w:type="dxa"/>
            <w:shd w:val="clear" w:color="auto" w:fill="auto"/>
          </w:tcPr>
          <w:p w14:paraId="452F41AA" w14:textId="77777777" w:rsidR="00C5519D" w:rsidRPr="00580904" w:rsidRDefault="00C5519D" w:rsidP="00603607">
            <w:pPr>
              <w:pStyle w:val="Default"/>
              <w:ind w:right="34"/>
              <w:jc w:val="right"/>
            </w:pPr>
            <w:r w:rsidRPr="00580904">
              <w:t>400</w:t>
            </w:r>
          </w:p>
        </w:tc>
        <w:tc>
          <w:tcPr>
            <w:tcW w:w="1415" w:type="dxa"/>
            <w:shd w:val="clear" w:color="auto" w:fill="auto"/>
          </w:tcPr>
          <w:p w14:paraId="40F6DE64" w14:textId="77777777" w:rsidR="00C5519D" w:rsidRPr="00580904" w:rsidRDefault="00C5519D" w:rsidP="00603607">
            <w:pPr>
              <w:pStyle w:val="Default"/>
              <w:jc w:val="right"/>
            </w:pPr>
            <w:r w:rsidRPr="00580904">
              <w:t>400</w:t>
            </w:r>
          </w:p>
        </w:tc>
      </w:tr>
      <w:tr w:rsidR="00C5519D" w:rsidRPr="00580904" w14:paraId="735C4CD8" w14:textId="77777777" w:rsidTr="002D462C">
        <w:tc>
          <w:tcPr>
            <w:tcW w:w="3701" w:type="dxa"/>
            <w:shd w:val="clear" w:color="auto" w:fill="auto"/>
          </w:tcPr>
          <w:p w14:paraId="79A8E692" w14:textId="77777777" w:rsidR="00C5519D" w:rsidRPr="00580904" w:rsidRDefault="00C5519D" w:rsidP="001A0059">
            <w:pPr>
              <w:pStyle w:val="Default"/>
              <w:ind w:right="386"/>
              <w:jc w:val="both"/>
            </w:pPr>
            <w:r w:rsidRPr="00580904">
              <w:t>Lift refurbishment</w:t>
            </w:r>
          </w:p>
        </w:tc>
        <w:tc>
          <w:tcPr>
            <w:tcW w:w="1377" w:type="dxa"/>
            <w:shd w:val="clear" w:color="auto" w:fill="auto"/>
          </w:tcPr>
          <w:p w14:paraId="5FA25551" w14:textId="77777777" w:rsidR="00C5519D" w:rsidRPr="00580904" w:rsidRDefault="00C5519D" w:rsidP="00603607">
            <w:pPr>
              <w:pStyle w:val="Default"/>
              <w:ind w:right="34"/>
              <w:jc w:val="right"/>
            </w:pPr>
            <w:r w:rsidRPr="00580904">
              <w:t>154</w:t>
            </w:r>
          </w:p>
        </w:tc>
        <w:tc>
          <w:tcPr>
            <w:tcW w:w="1427" w:type="dxa"/>
            <w:shd w:val="clear" w:color="auto" w:fill="auto"/>
          </w:tcPr>
          <w:p w14:paraId="71AFDC04" w14:textId="77777777" w:rsidR="00C5519D" w:rsidRPr="00580904" w:rsidRDefault="00C5519D" w:rsidP="00603607">
            <w:pPr>
              <w:pStyle w:val="Default"/>
              <w:jc w:val="right"/>
            </w:pPr>
          </w:p>
        </w:tc>
        <w:tc>
          <w:tcPr>
            <w:tcW w:w="1400" w:type="dxa"/>
            <w:shd w:val="clear" w:color="auto" w:fill="auto"/>
          </w:tcPr>
          <w:p w14:paraId="02986C42" w14:textId="77777777" w:rsidR="00C5519D" w:rsidRPr="00580904" w:rsidRDefault="00C5519D" w:rsidP="00603607">
            <w:pPr>
              <w:pStyle w:val="Default"/>
              <w:ind w:right="34"/>
              <w:jc w:val="right"/>
            </w:pPr>
          </w:p>
        </w:tc>
        <w:tc>
          <w:tcPr>
            <w:tcW w:w="1415" w:type="dxa"/>
            <w:shd w:val="clear" w:color="auto" w:fill="auto"/>
          </w:tcPr>
          <w:p w14:paraId="2C7DDB8C" w14:textId="77777777" w:rsidR="00C5519D" w:rsidRPr="00580904" w:rsidRDefault="00C5519D" w:rsidP="00603607">
            <w:pPr>
              <w:pStyle w:val="Default"/>
              <w:jc w:val="right"/>
            </w:pPr>
          </w:p>
        </w:tc>
      </w:tr>
      <w:tr w:rsidR="00C5519D" w:rsidRPr="00580904" w14:paraId="1FC281E5" w14:textId="77777777" w:rsidTr="002D462C">
        <w:tc>
          <w:tcPr>
            <w:tcW w:w="3701" w:type="dxa"/>
            <w:shd w:val="clear" w:color="auto" w:fill="auto"/>
          </w:tcPr>
          <w:p w14:paraId="36FCFA26" w14:textId="77777777" w:rsidR="00C5519D" w:rsidRPr="00580904" w:rsidRDefault="00C5519D" w:rsidP="001A0059">
            <w:pPr>
              <w:pStyle w:val="Default"/>
              <w:ind w:right="386"/>
              <w:jc w:val="both"/>
            </w:pPr>
            <w:r w:rsidRPr="00580904">
              <w:t>Pest control vehicle</w:t>
            </w:r>
          </w:p>
        </w:tc>
        <w:tc>
          <w:tcPr>
            <w:tcW w:w="1377" w:type="dxa"/>
            <w:shd w:val="clear" w:color="auto" w:fill="auto"/>
          </w:tcPr>
          <w:p w14:paraId="22154B10" w14:textId="77777777" w:rsidR="00C5519D" w:rsidRPr="00580904" w:rsidRDefault="00C5519D" w:rsidP="00603607">
            <w:pPr>
              <w:pStyle w:val="Default"/>
              <w:ind w:right="34"/>
              <w:jc w:val="right"/>
            </w:pPr>
            <w:r w:rsidRPr="00580904">
              <w:t>35</w:t>
            </w:r>
          </w:p>
        </w:tc>
        <w:tc>
          <w:tcPr>
            <w:tcW w:w="1427" w:type="dxa"/>
            <w:shd w:val="clear" w:color="auto" w:fill="auto"/>
          </w:tcPr>
          <w:p w14:paraId="25ED74B0" w14:textId="77777777" w:rsidR="00C5519D" w:rsidRPr="00580904" w:rsidRDefault="00C5519D" w:rsidP="00603607">
            <w:pPr>
              <w:pStyle w:val="Default"/>
              <w:jc w:val="right"/>
            </w:pPr>
          </w:p>
        </w:tc>
        <w:tc>
          <w:tcPr>
            <w:tcW w:w="1400" w:type="dxa"/>
            <w:shd w:val="clear" w:color="auto" w:fill="auto"/>
          </w:tcPr>
          <w:p w14:paraId="21A24F8B" w14:textId="77777777" w:rsidR="00C5519D" w:rsidRPr="00580904" w:rsidRDefault="00C5519D" w:rsidP="00603607">
            <w:pPr>
              <w:pStyle w:val="Default"/>
              <w:ind w:right="34"/>
              <w:jc w:val="right"/>
            </w:pPr>
          </w:p>
        </w:tc>
        <w:tc>
          <w:tcPr>
            <w:tcW w:w="1415" w:type="dxa"/>
            <w:shd w:val="clear" w:color="auto" w:fill="auto"/>
          </w:tcPr>
          <w:p w14:paraId="6AD24589" w14:textId="77777777" w:rsidR="00C5519D" w:rsidRPr="00580904" w:rsidRDefault="00C5519D" w:rsidP="00603607">
            <w:pPr>
              <w:pStyle w:val="Default"/>
              <w:jc w:val="right"/>
            </w:pPr>
          </w:p>
        </w:tc>
      </w:tr>
      <w:tr w:rsidR="00C5519D" w:rsidRPr="00580904" w14:paraId="7AEA5BE4" w14:textId="77777777" w:rsidTr="002D462C">
        <w:tc>
          <w:tcPr>
            <w:tcW w:w="3701" w:type="dxa"/>
            <w:shd w:val="clear" w:color="auto" w:fill="auto"/>
          </w:tcPr>
          <w:p w14:paraId="03FE020A" w14:textId="77777777" w:rsidR="00C5519D" w:rsidRPr="00580904" w:rsidRDefault="00C5519D" w:rsidP="001A0059">
            <w:pPr>
              <w:pStyle w:val="Default"/>
              <w:ind w:right="386"/>
              <w:jc w:val="both"/>
            </w:pPr>
            <w:r w:rsidRPr="00580904">
              <w:t>Car park resurfacing</w:t>
            </w:r>
          </w:p>
        </w:tc>
        <w:tc>
          <w:tcPr>
            <w:tcW w:w="1377" w:type="dxa"/>
            <w:shd w:val="clear" w:color="auto" w:fill="auto"/>
          </w:tcPr>
          <w:p w14:paraId="42A0F6ED" w14:textId="77777777" w:rsidR="00C5519D" w:rsidRPr="00580904" w:rsidRDefault="00C5519D" w:rsidP="00603607">
            <w:pPr>
              <w:pStyle w:val="Default"/>
              <w:ind w:right="34"/>
              <w:jc w:val="right"/>
            </w:pPr>
            <w:r w:rsidRPr="00580904">
              <w:t>50</w:t>
            </w:r>
          </w:p>
        </w:tc>
        <w:tc>
          <w:tcPr>
            <w:tcW w:w="1427" w:type="dxa"/>
            <w:shd w:val="clear" w:color="auto" w:fill="auto"/>
          </w:tcPr>
          <w:p w14:paraId="342DABE7" w14:textId="77777777" w:rsidR="00C5519D" w:rsidRPr="00580904" w:rsidRDefault="00C5519D" w:rsidP="00603607">
            <w:pPr>
              <w:pStyle w:val="Default"/>
              <w:jc w:val="right"/>
            </w:pPr>
            <w:r w:rsidRPr="00580904">
              <w:t>50</w:t>
            </w:r>
          </w:p>
        </w:tc>
        <w:tc>
          <w:tcPr>
            <w:tcW w:w="1400" w:type="dxa"/>
            <w:shd w:val="clear" w:color="auto" w:fill="auto"/>
          </w:tcPr>
          <w:p w14:paraId="57289389" w14:textId="77777777" w:rsidR="00C5519D" w:rsidRPr="00580904" w:rsidRDefault="00C5519D" w:rsidP="00603607">
            <w:pPr>
              <w:pStyle w:val="Default"/>
              <w:ind w:right="34"/>
              <w:jc w:val="right"/>
            </w:pPr>
            <w:r w:rsidRPr="00580904">
              <w:t>50</w:t>
            </w:r>
          </w:p>
        </w:tc>
        <w:tc>
          <w:tcPr>
            <w:tcW w:w="1415" w:type="dxa"/>
            <w:shd w:val="clear" w:color="auto" w:fill="auto"/>
          </w:tcPr>
          <w:p w14:paraId="4AB0C7B6" w14:textId="77777777" w:rsidR="00C5519D" w:rsidRPr="00580904" w:rsidRDefault="00A71EC3" w:rsidP="00603607">
            <w:pPr>
              <w:pStyle w:val="Default"/>
              <w:jc w:val="right"/>
            </w:pPr>
            <w:r>
              <w:t>50</w:t>
            </w:r>
          </w:p>
        </w:tc>
      </w:tr>
      <w:tr w:rsidR="00C5519D" w:rsidRPr="00580904" w14:paraId="5440625D" w14:textId="77777777" w:rsidTr="002D462C">
        <w:tc>
          <w:tcPr>
            <w:tcW w:w="3701" w:type="dxa"/>
            <w:shd w:val="clear" w:color="auto" w:fill="auto"/>
          </w:tcPr>
          <w:p w14:paraId="0BD444AC" w14:textId="77777777" w:rsidR="00C5519D" w:rsidRPr="00580904" w:rsidRDefault="00C5519D" w:rsidP="001A0059">
            <w:pPr>
              <w:pStyle w:val="Default"/>
              <w:ind w:right="386"/>
              <w:jc w:val="both"/>
            </w:pPr>
            <w:r w:rsidRPr="00580904">
              <w:t>Hinksey outside kiosk</w:t>
            </w:r>
          </w:p>
        </w:tc>
        <w:tc>
          <w:tcPr>
            <w:tcW w:w="1377" w:type="dxa"/>
            <w:shd w:val="clear" w:color="auto" w:fill="auto"/>
          </w:tcPr>
          <w:p w14:paraId="695B4449" w14:textId="77777777" w:rsidR="00C5519D" w:rsidRPr="00580904" w:rsidRDefault="00C5519D" w:rsidP="00603607">
            <w:pPr>
              <w:pStyle w:val="Default"/>
              <w:ind w:right="34"/>
              <w:jc w:val="right"/>
            </w:pPr>
            <w:r w:rsidRPr="00580904">
              <w:t>49</w:t>
            </w:r>
          </w:p>
        </w:tc>
        <w:tc>
          <w:tcPr>
            <w:tcW w:w="1427" w:type="dxa"/>
            <w:shd w:val="clear" w:color="auto" w:fill="auto"/>
          </w:tcPr>
          <w:p w14:paraId="6D57A17F" w14:textId="77777777" w:rsidR="00C5519D" w:rsidRPr="00580904" w:rsidRDefault="00C5519D" w:rsidP="00603607">
            <w:pPr>
              <w:pStyle w:val="Default"/>
              <w:jc w:val="right"/>
            </w:pPr>
          </w:p>
        </w:tc>
        <w:tc>
          <w:tcPr>
            <w:tcW w:w="1400" w:type="dxa"/>
            <w:shd w:val="clear" w:color="auto" w:fill="auto"/>
          </w:tcPr>
          <w:p w14:paraId="55DB8470" w14:textId="77777777" w:rsidR="00C5519D" w:rsidRPr="00580904" w:rsidRDefault="00C5519D" w:rsidP="00603607">
            <w:pPr>
              <w:pStyle w:val="Default"/>
              <w:ind w:right="34"/>
              <w:jc w:val="right"/>
            </w:pPr>
          </w:p>
        </w:tc>
        <w:tc>
          <w:tcPr>
            <w:tcW w:w="1415" w:type="dxa"/>
            <w:shd w:val="clear" w:color="auto" w:fill="auto"/>
          </w:tcPr>
          <w:p w14:paraId="6174ADE7" w14:textId="77777777" w:rsidR="00C5519D" w:rsidRPr="00580904" w:rsidRDefault="00C5519D" w:rsidP="00603607">
            <w:pPr>
              <w:pStyle w:val="Default"/>
              <w:jc w:val="right"/>
            </w:pPr>
          </w:p>
        </w:tc>
      </w:tr>
      <w:tr w:rsidR="00C5519D" w:rsidRPr="00580904" w14:paraId="308EEF7D" w14:textId="77777777" w:rsidTr="002D462C">
        <w:tc>
          <w:tcPr>
            <w:tcW w:w="3701" w:type="dxa"/>
            <w:shd w:val="clear" w:color="auto" w:fill="auto"/>
          </w:tcPr>
          <w:p w14:paraId="450A75C2" w14:textId="77777777" w:rsidR="00C5519D" w:rsidRPr="00580904" w:rsidRDefault="00C5519D" w:rsidP="001A0059">
            <w:pPr>
              <w:pStyle w:val="Default"/>
              <w:ind w:right="386"/>
              <w:jc w:val="both"/>
            </w:pPr>
            <w:r w:rsidRPr="00580904">
              <w:t>Barton cycle studio</w:t>
            </w:r>
          </w:p>
        </w:tc>
        <w:tc>
          <w:tcPr>
            <w:tcW w:w="1377" w:type="dxa"/>
            <w:shd w:val="clear" w:color="auto" w:fill="auto"/>
          </w:tcPr>
          <w:p w14:paraId="3D546380" w14:textId="77777777" w:rsidR="00C5519D" w:rsidRPr="00580904" w:rsidRDefault="00C5519D" w:rsidP="00603607">
            <w:pPr>
              <w:pStyle w:val="Default"/>
              <w:ind w:right="34"/>
              <w:jc w:val="right"/>
            </w:pPr>
            <w:r w:rsidRPr="00580904">
              <w:t>40</w:t>
            </w:r>
          </w:p>
        </w:tc>
        <w:tc>
          <w:tcPr>
            <w:tcW w:w="1427" w:type="dxa"/>
            <w:shd w:val="clear" w:color="auto" w:fill="auto"/>
          </w:tcPr>
          <w:p w14:paraId="6979FF09" w14:textId="77777777" w:rsidR="00C5519D" w:rsidRPr="00580904" w:rsidRDefault="00C5519D" w:rsidP="00603607">
            <w:pPr>
              <w:pStyle w:val="Default"/>
              <w:jc w:val="right"/>
            </w:pPr>
          </w:p>
        </w:tc>
        <w:tc>
          <w:tcPr>
            <w:tcW w:w="1400" w:type="dxa"/>
            <w:shd w:val="clear" w:color="auto" w:fill="auto"/>
          </w:tcPr>
          <w:p w14:paraId="0839FECC" w14:textId="77777777" w:rsidR="00C5519D" w:rsidRPr="00580904" w:rsidRDefault="00C5519D" w:rsidP="00603607">
            <w:pPr>
              <w:pStyle w:val="Default"/>
              <w:ind w:right="34"/>
              <w:jc w:val="right"/>
            </w:pPr>
          </w:p>
        </w:tc>
        <w:tc>
          <w:tcPr>
            <w:tcW w:w="1415" w:type="dxa"/>
            <w:shd w:val="clear" w:color="auto" w:fill="auto"/>
          </w:tcPr>
          <w:p w14:paraId="33F09B9F" w14:textId="77777777" w:rsidR="00C5519D" w:rsidRPr="00580904" w:rsidRDefault="00C5519D" w:rsidP="00603607">
            <w:pPr>
              <w:pStyle w:val="Default"/>
              <w:jc w:val="right"/>
            </w:pPr>
          </w:p>
        </w:tc>
      </w:tr>
      <w:tr w:rsidR="00C5519D" w:rsidRPr="00580904" w14:paraId="6E7218A8" w14:textId="77777777" w:rsidTr="002D462C">
        <w:tc>
          <w:tcPr>
            <w:tcW w:w="3701" w:type="dxa"/>
            <w:shd w:val="clear" w:color="auto" w:fill="auto"/>
          </w:tcPr>
          <w:p w14:paraId="7686683F" w14:textId="77777777" w:rsidR="00C5519D" w:rsidRPr="00580904" w:rsidRDefault="00C5519D" w:rsidP="001A0059">
            <w:pPr>
              <w:pStyle w:val="Default"/>
              <w:ind w:right="386"/>
              <w:jc w:val="both"/>
            </w:pPr>
            <w:r w:rsidRPr="00580904">
              <w:t>CCTV Upgrade</w:t>
            </w:r>
          </w:p>
        </w:tc>
        <w:tc>
          <w:tcPr>
            <w:tcW w:w="1377" w:type="dxa"/>
            <w:shd w:val="clear" w:color="auto" w:fill="auto"/>
          </w:tcPr>
          <w:p w14:paraId="1D5A30ED" w14:textId="77777777" w:rsidR="00C5519D" w:rsidRPr="00580904" w:rsidRDefault="00C5519D" w:rsidP="00603607">
            <w:pPr>
              <w:pStyle w:val="Default"/>
              <w:ind w:right="34"/>
              <w:jc w:val="right"/>
            </w:pPr>
            <w:r w:rsidRPr="00580904">
              <w:t>80</w:t>
            </w:r>
          </w:p>
        </w:tc>
        <w:tc>
          <w:tcPr>
            <w:tcW w:w="1427" w:type="dxa"/>
            <w:shd w:val="clear" w:color="auto" w:fill="auto"/>
          </w:tcPr>
          <w:p w14:paraId="2813A747" w14:textId="77777777" w:rsidR="00C5519D" w:rsidRPr="00580904" w:rsidRDefault="00C5519D" w:rsidP="00603607">
            <w:pPr>
              <w:pStyle w:val="Default"/>
              <w:jc w:val="right"/>
            </w:pPr>
          </w:p>
        </w:tc>
        <w:tc>
          <w:tcPr>
            <w:tcW w:w="1400" w:type="dxa"/>
            <w:shd w:val="clear" w:color="auto" w:fill="auto"/>
          </w:tcPr>
          <w:p w14:paraId="15050498" w14:textId="77777777" w:rsidR="00C5519D" w:rsidRPr="00580904" w:rsidRDefault="00C5519D" w:rsidP="00603607">
            <w:pPr>
              <w:pStyle w:val="Default"/>
              <w:ind w:right="34"/>
              <w:jc w:val="right"/>
            </w:pPr>
          </w:p>
        </w:tc>
        <w:tc>
          <w:tcPr>
            <w:tcW w:w="1415" w:type="dxa"/>
            <w:shd w:val="clear" w:color="auto" w:fill="auto"/>
          </w:tcPr>
          <w:p w14:paraId="7C8DFEBA" w14:textId="77777777" w:rsidR="00C5519D" w:rsidRPr="00580904" w:rsidRDefault="00C5519D" w:rsidP="00603607">
            <w:pPr>
              <w:pStyle w:val="Default"/>
              <w:jc w:val="right"/>
            </w:pPr>
          </w:p>
        </w:tc>
      </w:tr>
      <w:tr w:rsidR="00C5519D" w:rsidRPr="00580904" w14:paraId="5B85E8B3" w14:textId="77777777" w:rsidTr="002D462C">
        <w:tc>
          <w:tcPr>
            <w:tcW w:w="3701" w:type="dxa"/>
            <w:shd w:val="clear" w:color="auto" w:fill="auto"/>
          </w:tcPr>
          <w:p w14:paraId="2A28E53C" w14:textId="77777777" w:rsidR="00C5519D" w:rsidRPr="00580904" w:rsidRDefault="00C5519D" w:rsidP="001A0059">
            <w:pPr>
              <w:pStyle w:val="Default"/>
              <w:ind w:right="386"/>
              <w:jc w:val="both"/>
            </w:pPr>
            <w:proofErr w:type="spellStart"/>
            <w:r w:rsidRPr="00580904">
              <w:t>Horspath</w:t>
            </w:r>
            <w:proofErr w:type="spellEnd"/>
            <w:r w:rsidRPr="00580904">
              <w:t xml:space="preserve"> 3 G</w:t>
            </w:r>
          </w:p>
        </w:tc>
        <w:tc>
          <w:tcPr>
            <w:tcW w:w="1377" w:type="dxa"/>
            <w:shd w:val="clear" w:color="auto" w:fill="auto"/>
          </w:tcPr>
          <w:p w14:paraId="7DEF008A" w14:textId="77777777" w:rsidR="00C5519D" w:rsidRPr="00580904" w:rsidRDefault="00C5519D" w:rsidP="00603607">
            <w:pPr>
              <w:pStyle w:val="Default"/>
              <w:ind w:right="34"/>
              <w:jc w:val="right"/>
            </w:pPr>
          </w:p>
        </w:tc>
        <w:tc>
          <w:tcPr>
            <w:tcW w:w="1427" w:type="dxa"/>
            <w:shd w:val="clear" w:color="auto" w:fill="auto"/>
          </w:tcPr>
          <w:p w14:paraId="54F4B4DA" w14:textId="77777777" w:rsidR="00C5519D" w:rsidRPr="00580904" w:rsidRDefault="00C5519D" w:rsidP="00603607">
            <w:pPr>
              <w:pStyle w:val="Default"/>
              <w:jc w:val="right"/>
            </w:pPr>
            <w:r w:rsidRPr="00580904">
              <w:t>900</w:t>
            </w:r>
          </w:p>
        </w:tc>
        <w:tc>
          <w:tcPr>
            <w:tcW w:w="1400" w:type="dxa"/>
            <w:shd w:val="clear" w:color="auto" w:fill="auto"/>
          </w:tcPr>
          <w:p w14:paraId="4ACAFFD0" w14:textId="77777777" w:rsidR="00C5519D" w:rsidRPr="00580904" w:rsidRDefault="00C5519D" w:rsidP="00603607">
            <w:pPr>
              <w:pStyle w:val="Default"/>
              <w:ind w:right="34"/>
              <w:jc w:val="right"/>
            </w:pPr>
          </w:p>
        </w:tc>
        <w:tc>
          <w:tcPr>
            <w:tcW w:w="1415" w:type="dxa"/>
            <w:shd w:val="clear" w:color="auto" w:fill="auto"/>
          </w:tcPr>
          <w:p w14:paraId="68C4A8A0" w14:textId="77777777" w:rsidR="00C5519D" w:rsidRPr="00580904" w:rsidRDefault="00C5519D" w:rsidP="00603607">
            <w:pPr>
              <w:pStyle w:val="Default"/>
              <w:jc w:val="right"/>
            </w:pPr>
          </w:p>
        </w:tc>
      </w:tr>
      <w:tr w:rsidR="00A66C0B" w:rsidRPr="00580904" w14:paraId="35B8CDA0" w14:textId="77777777" w:rsidTr="002D462C">
        <w:tc>
          <w:tcPr>
            <w:tcW w:w="3701" w:type="dxa"/>
            <w:shd w:val="clear" w:color="auto" w:fill="auto"/>
          </w:tcPr>
          <w:p w14:paraId="3B3D0E6B" w14:textId="77777777" w:rsidR="00A66C0B" w:rsidRPr="00580904" w:rsidRDefault="00A66C0B" w:rsidP="009E1C3C">
            <w:pPr>
              <w:pStyle w:val="Default"/>
              <w:ind w:right="386"/>
              <w:jc w:val="both"/>
            </w:pPr>
            <w:r>
              <w:t>Barton Park 2 additional vehicles</w:t>
            </w:r>
          </w:p>
        </w:tc>
        <w:tc>
          <w:tcPr>
            <w:tcW w:w="1377" w:type="dxa"/>
            <w:shd w:val="clear" w:color="auto" w:fill="auto"/>
          </w:tcPr>
          <w:p w14:paraId="305EEE39" w14:textId="77777777" w:rsidR="00A66C0B" w:rsidRPr="00580904" w:rsidRDefault="00A66C0B" w:rsidP="00603607">
            <w:pPr>
              <w:pStyle w:val="Default"/>
              <w:ind w:right="34"/>
              <w:jc w:val="right"/>
            </w:pPr>
            <w:r>
              <w:t>52</w:t>
            </w:r>
          </w:p>
        </w:tc>
        <w:tc>
          <w:tcPr>
            <w:tcW w:w="1427" w:type="dxa"/>
            <w:shd w:val="clear" w:color="auto" w:fill="auto"/>
          </w:tcPr>
          <w:p w14:paraId="44E5C1E5" w14:textId="77777777" w:rsidR="00A66C0B" w:rsidRPr="00580904" w:rsidRDefault="00A66C0B" w:rsidP="00603607">
            <w:pPr>
              <w:pStyle w:val="Default"/>
              <w:jc w:val="right"/>
            </w:pPr>
          </w:p>
        </w:tc>
        <w:tc>
          <w:tcPr>
            <w:tcW w:w="1400" w:type="dxa"/>
            <w:shd w:val="clear" w:color="auto" w:fill="auto"/>
          </w:tcPr>
          <w:p w14:paraId="3D4C4914" w14:textId="77777777" w:rsidR="00A66C0B" w:rsidRPr="00580904" w:rsidRDefault="00A66C0B" w:rsidP="00603607">
            <w:pPr>
              <w:pStyle w:val="Default"/>
              <w:ind w:right="34"/>
              <w:jc w:val="right"/>
            </w:pPr>
          </w:p>
        </w:tc>
        <w:tc>
          <w:tcPr>
            <w:tcW w:w="1415" w:type="dxa"/>
            <w:shd w:val="clear" w:color="auto" w:fill="auto"/>
          </w:tcPr>
          <w:p w14:paraId="329C6AC5" w14:textId="77777777" w:rsidR="00A66C0B" w:rsidRPr="00580904" w:rsidRDefault="00A66C0B" w:rsidP="00603607">
            <w:pPr>
              <w:pStyle w:val="Default"/>
              <w:jc w:val="right"/>
            </w:pPr>
          </w:p>
        </w:tc>
      </w:tr>
      <w:tr w:rsidR="00C5519D" w:rsidRPr="00580904" w14:paraId="2FA762A0" w14:textId="77777777" w:rsidTr="002D462C">
        <w:tc>
          <w:tcPr>
            <w:tcW w:w="3701" w:type="dxa"/>
            <w:shd w:val="clear" w:color="auto" w:fill="auto"/>
          </w:tcPr>
          <w:p w14:paraId="0DB54699" w14:textId="77777777" w:rsidR="00C5519D" w:rsidRPr="00580904" w:rsidRDefault="00C5519D" w:rsidP="009E1C3C">
            <w:pPr>
              <w:pStyle w:val="Default"/>
              <w:ind w:right="386"/>
              <w:jc w:val="both"/>
            </w:pPr>
            <w:r w:rsidRPr="00580904">
              <w:t>Rose Hill CC Parking Management</w:t>
            </w:r>
          </w:p>
        </w:tc>
        <w:tc>
          <w:tcPr>
            <w:tcW w:w="1377" w:type="dxa"/>
            <w:shd w:val="clear" w:color="auto" w:fill="auto"/>
          </w:tcPr>
          <w:p w14:paraId="7E621C64" w14:textId="77777777" w:rsidR="00C5519D" w:rsidRPr="00580904" w:rsidRDefault="00C5519D" w:rsidP="00603607">
            <w:pPr>
              <w:pStyle w:val="Default"/>
              <w:ind w:right="34"/>
              <w:jc w:val="right"/>
            </w:pPr>
            <w:r w:rsidRPr="00580904">
              <w:t>10</w:t>
            </w:r>
          </w:p>
        </w:tc>
        <w:tc>
          <w:tcPr>
            <w:tcW w:w="1427" w:type="dxa"/>
            <w:shd w:val="clear" w:color="auto" w:fill="auto"/>
          </w:tcPr>
          <w:p w14:paraId="14E82D1B" w14:textId="77777777" w:rsidR="00C5519D" w:rsidRPr="00580904" w:rsidRDefault="00C5519D" w:rsidP="00603607">
            <w:pPr>
              <w:pStyle w:val="Default"/>
              <w:jc w:val="right"/>
            </w:pPr>
          </w:p>
        </w:tc>
        <w:tc>
          <w:tcPr>
            <w:tcW w:w="1400" w:type="dxa"/>
            <w:shd w:val="clear" w:color="auto" w:fill="auto"/>
          </w:tcPr>
          <w:p w14:paraId="2A171331" w14:textId="77777777" w:rsidR="00C5519D" w:rsidRPr="00580904" w:rsidRDefault="00C5519D" w:rsidP="00603607">
            <w:pPr>
              <w:pStyle w:val="Default"/>
              <w:ind w:right="34"/>
              <w:jc w:val="right"/>
            </w:pPr>
          </w:p>
        </w:tc>
        <w:tc>
          <w:tcPr>
            <w:tcW w:w="1415" w:type="dxa"/>
            <w:shd w:val="clear" w:color="auto" w:fill="auto"/>
          </w:tcPr>
          <w:p w14:paraId="524802FC" w14:textId="77777777" w:rsidR="00C5519D" w:rsidRPr="00580904" w:rsidRDefault="00C5519D" w:rsidP="00603607">
            <w:pPr>
              <w:pStyle w:val="Default"/>
              <w:jc w:val="right"/>
            </w:pPr>
          </w:p>
        </w:tc>
      </w:tr>
      <w:tr w:rsidR="00C5519D" w:rsidRPr="00580904" w14:paraId="32C29815" w14:textId="77777777" w:rsidTr="002D462C">
        <w:tc>
          <w:tcPr>
            <w:tcW w:w="3701" w:type="dxa"/>
            <w:shd w:val="clear" w:color="auto" w:fill="auto"/>
          </w:tcPr>
          <w:p w14:paraId="437F6F3D" w14:textId="77777777" w:rsidR="00C5519D" w:rsidRPr="00580904" w:rsidRDefault="00580904" w:rsidP="001A0059">
            <w:pPr>
              <w:pStyle w:val="Default"/>
              <w:ind w:right="386"/>
              <w:jc w:val="both"/>
            </w:pPr>
            <w:r w:rsidRPr="00580904">
              <w:t>Infrastructure improvements Florence Park</w:t>
            </w:r>
          </w:p>
        </w:tc>
        <w:tc>
          <w:tcPr>
            <w:tcW w:w="1377" w:type="dxa"/>
            <w:shd w:val="clear" w:color="auto" w:fill="auto"/>
          </w:tcPr>
          <w:p w14:paraId="0ADB4C35" w14:textId="77777777" w:rsidR="00C5519D" w:rsidRPr="00580904" w:rsidRDefault="00580904" w:rsidP="00FE3714">
            <w:pPr>
              <w:pStyle w:val="Default"/>
              <w:ind w:right="34"/>
              <w:jc w:val="right"/>
            </w:pPr>
            <w:r w:rsidRPr="00580904">
              <w:t>81</w:t>
            </w:r>
          </w:p>
        </w:tc>
        <w:tc>
          <w:tcPr>
            <w:tcW w:w="1427" w:type="dxa"/>
            <w:shd w:val="clear" w:color="auto" w:fill="auto"/>
          </w:tcPr>
          <w:p w14:paraId="1A0746F4" w14:textId="77777777" w:rsidR="00C5519D" w:rsidRPr="00580904" w:rsidRDefault="00C5519D" w:rsidP="00603607">
            <w:pPr>
              <w:pStyle w:val="Default"/>
              <w:jc w:val="right"/>
            </w:pPr>
          </w:p>
        </w:tc>
        <w:tc>
          <w:tcPr>
            <w:tcW w:w="1400" w:type="dxa"/>
            <w:shd w:val="clear" w:color="auto" w:fill="auto"/>
          </w:tcPr>
          <w:p w14:paraId="2439ACE0" w14:textId="77777777" w:rsidR="00C5519D" w:rsidRPr="00580904" w:rsidRDefault="00C5519D" w:rsidP="00603607">
            <w:pPr>
              <w:pStyle w:val="Default"/>
              <w:ind w:right="34"/>
              <w:jc w:val="right"/>
            </w:pPr>
          </w:p>
        </w:tc>
        <w:tc>
          <w:tcPr>
            <w:tcW w:w="1415" w:type="dxa"/>
            <w:shd w:val="clear" w:color="auto" w:fill="auto"/>
          </w:tcPr>
          <w:p w14:paraId="53A9C39F" w14:textId="77777777" w:rsidR="00C5519D" w:rsidRPr="00580904" w:rsidRDefault="00C5519D" w:rsidP="00603607">
            <w:pPr>
              <w:pStyle w:val="Default"/>
              <w:jc w:val="right"/>
            </w:pPr>
          </w:p>
        </w:tc>
      </w:tr>
      <w:tr w:rsidR="00C5519D" w:rsidRPr="00580904" w14:paraId="4CF093A5" w14:textId="77777777" w:rsidTr="002D462C">
        <w:tc>
          <w:tcPr>
            <w:tcW w:w="3701" w:type="dxa"/>
            <w:shd w:val="clear" w:color="auto" w:fill="auto"/>
          </w:tcPr>
          <w:p w14:paraId="6E5137FD" w14:textId="77777777" w:rsidR="00C5519D" w:rsidRPr="00580904" w:rsidRDefault="00580904" w:rsidP="001A0059">
            <w:pPr>
              <w:pStyle w:val="Default"/>
              <w:ind w:right="386"/>
              <w:jc w:val="both"/>
            </w:pPr>
            <w:r w:rsidRPr="00580904">
              <w:t>Meadow Lane Car Park</w:t>
            </w:r>
          </w:p>
        </w:tc>
        <w:tc>
          <w:tcPr>
            <w:tcW w:w="1377" w:type="dxa"/>
            <w:shd w:val="clear" w:color="auto" w:fill="auto"/>
          </w:tcPr>
          <w:p w14:paraId="3CDDE75C" w14:textId="77777777" w:rsidR="00C5519D" w:rsidRPr="00580904" w:rsidRDefault="00580904" w:rsidP="00FE3714">
            <w:pPr>
              <w:pStyle w:val="Default"/>
              <w:ind w:right="34"/>
              <w:jc w:val="right"/>
            </w:pPr>
            <w:r w:rsidRPr="00580904">
              <w:t>92</w:t>
            </w:r>
          </w:p>
        </w:tc>
        <w:tc>
          <w:tcPr>
            <w:tcW w:w="1427" w:type="dxa"/>
            <w:shd w:val="clear" w:color="auto" w:fill="auto"/>
          </w:tcPr>
          <w:p w14:paraId="28019767" w14:textId="77777777" w:rsidR="00C5519D" w:rsidRPr="00580904" w:rsidRDefault="00C5519D" w:rsidP="00603607">
            <w:pPr>
              <w:pStyle w:val="Default"/>
              <w:jc w:val="right"/>
            </w:pPr>
          </w:p>
        </w:tc>
        <w:tc>
          <w:tcPr>
            <w:tcW w:w="1400" w:type="dxa"/>
            <w:shd w:val="clear" w:color="auto" w:fill="auto"/>
          </w:tcPr>
          <w:p w14:paraId="601A223B" w14:textId="77777777" w:rsidR="00C5519D" w:rsidRPr="00580904" w:rsidRDefault="00C5519D" w:rsidP="00603607">
            <w:pPr>
              <w:pStyle w:val="Default"/>
              <w:ind w:right="34"/>
              <w:jc w:val="right"/>
            </w:pPr>
          </w:p>
        </w:tc>
        <w:tc>
          <w:tcPr>
            <w:tcW w:w="1415" w:type="dxa"/>
            <w:shd w:val="clear" w:color="auto" w:fill="auto"/>
          </w:tcPr>
          <w:p w14:paraId="65A02D23" w14:textId="77777777" w:rsidR="00C5519D" w:rsidRPr="00580904" w:rsidRDefault="00C5519D" w:rsidP="00603607">
            <w:pPr>
              <w:pStyle w:val="Default"/>
              <w:jc w:val="right"/>
            </w:pPr>
          </w:p>
        </w:tc>
      </w:tr>
      <w:tr w:rsidR="00580904" w:rsidRPr="00580904" w14:paraId="74390563" w14:textId="77777777" w:rsidTr="002D462C">
        <w:tc>
          <w:tcPr>
            <w:tcW w:w="3701" w:type="dxa"/>
            <w:shd w:val="clear" w:color="auto" w:fill="auto"/>
          </w:tcPr>
          <w:p w14:paraId="445D0B6A" w14:textId="77777777" w:rsidR="00580904" w:rsidRPr="00580904" w:rsidRDefault="00580904" w:rsidP="001A0059">
            <w:pPr>
              <w:pStyle w:val="Default"/>
              <w:ind w:right="386"/>
              <w:jc w:val="both"/>
            </w:pPr>
            <w:r w:rsidRPr="00580904">
              <w:t xml:space="preserve">BT One Phone Ph2 </w:t>
            </w:r>
          </w:p>
        </w:tc>
        <w:tc>
          <w:tcPr>
            <w:tcW w:w="1377" w:type="dxa"/>
            <w:shd w:val="clear" w:color="auto" w:fill="auto"/>
          </w:tcPr>
          <w:p w14:paraId="408BBF9E" w14:textId="77777777" w:rsidR="00580904" w:rsidRPr="00580904" w:rsidRDefault="00580904" w:rsidP="00FE3714">
            <w:pPr>
              <w:pStyle w:val="Default"/>
              <w:ind w:right="34"/>
              <w:jc w:val="right"/>
            </w:pPr>
            <w:r w:rsidRPr="00580904">
              <w:t>83</w:t>
            </w:r>
          </w:p>
        </w:tc>
        <w:tc>
          <w:tcPr>
            <w:tcW w:w="1427" w:type="dxa"/>
            <w:shd w:val="clear" w:color="auto" w:fill="auto"/>
          </w:tcPr>
          <w:p w14:paraId="4C42EFA2" w14:textId="77777777" w:rsidR="00580904" w:rsidRPr="00580904" w:rsidRDefault="00580904" w:rsidP="00603607">
            <w:pPr>
              <w:pStyle w:val="Default"/>
              <w:jc w:val="right"/>
            </w:pPr>
          </w:p>
        </w:tc>
        <w:tc>
          <w:tcPr>
            <w:tcW w:w="1400" w:type="dxa"/>
            <w:shd w:val="clear" w:color="auto" w:fill="auto"/>
          </w:tcPr>
          <w:p w14:paraId="3EEFEE85" w14:textId="77777777" w:rsidR="00580904" w:rsidRPr="00580904" w:rsidRDefault="00580904" w:rsidP="00603607">
            <w:pPr>
              <w:pStyle w:val="Default"/>
              <w:ind w:right="34"/>
              <w:jc w:val="right"/>
            </w:pPr>
          </w:p>
        </w:tc>
        <w:tc>
          <w:tcPr>
            <w:tcW w:w="1415" w:type="dxa"/>
            <w:shd w:val="clear" w:color="auto" w:fill="auto"/>
          </w:tcPr>
          <w:p w14:paraId="159E47E6" w14:textId="77777777" w:rsidR="00580904" w:rsidRPr="00580904" w:rsidRDefault="00580904" w:rsidP="00603607">
            <w:pPr>
              <w:pStyle w:val="Default"/>
              <w:jc w:val="right"/>
            </w:pPr>
          </w:p>
        </w:tc>
      </w:tr>
      <w:tr w:rsidR="00580904" w:rsidRPr="00580904" w14:paraId="15B04610" w14:textId="77777777" w:rsidTr="002D462C">
        <w:tc>
          <w:tcPr>
            <w:tcW w:w="3701" w:type="dxa"/>
            <w:shd w:val="clear" w:color="auto" w:fill="auto"/>
          </w:tcPr>
          <w:p w14:paraId="4A90A811" w14:textId="77777777" w:rsidR="00580904" w:rsidRPr="00580904" w:rsidRDefault="00580904" w:rsidP="00580904">
            <w:pPr>
              <w:pStyle w:val="Default"/>
              <w:ind w:right="386"/>
              <w:jc w:val="both"/>
            </w:pPr>
            <w:r w:rsidRPr="00580904">
              <w:t>Vehicle and equipment for tree team</w:t>
            </w:r>
          </w:p>
        </w:tc>
        <w:tc>
          <w:tcPr>
            <w:tcW w:w="1377" w:type="dxa"/>
            <w:shd w:val="clear" w:color="auto" w:fill="auto"/>
          </w:tcPr>
          <w:p w14:paraId="2A8C6CD1" w14:textId="77777777" w:rsidR="00580904" w:rsidRPr="00580904" w:rsidRDefault="00580904" w:rsidP="00FE3714">
            <w:pPr>
              <w:pStyle w:val="Default"/>
              <w:ind w:right="34"/>
              <w:jc w:val="right"/>
            </w:pPr>
            <w:r w:rsidRPr="00580904">
              <w:t>26</w:t>
            </w:r>
          </w:p>
        </w:tc>
        <w:tc>
          <w:tcPr>
            <w:tcW w:w="1427" w:type="dxa"/>
            <w:shd w:val="clear" w:color="auto" w:fill="auto"/>
          </w:tcPr>
          <w:p w14:paraId="68376331" w14:textId="77777777" w:rsidR="00580904" w:rsidRPr="00580904" w:rsidRDefault="00580904" w:rsidP="00603607">
            <w:pPr>
              <w:pStyle w:val="Default"/>
              <w:jc w:val="right"/>
            </w:pPr>
          </w:p>
        </w:tc>
        <w:tc>
          <w:tcPr>
            <w:tcW w:w="1400" w:type="dxa"/>
            <w:shd w:val="clear" w:color="auto" w:fill="auto"/>
          </w:tcPr>
          <w:p w14:paraId="2FE543C4" w14:textId="77777777" w:rsidR="00580904" w:rsidRPr="00580904" w:rsidRDefault="00580904" w:rsidP="00603607">
            <w:pPr>
              <w:pStyle w:val="Default"/>
              <w:ind w:right="34"/>
              <w:jc w:val="right"/>
            </w:pPr>
          </w:p>
        </w:tc>
        <w:tc>
          <w:tcPr>
            <w:tcW w:w="1415" w:type="dxa"/>
            <w:shd w:val="clear" w:color="auto" w:fill="auto"/>
          </w:tcPr>
          <w:p w14:paraId="09657E70" w14:textId="77777777" w:rsidR="00580904" w:rsidRPr="00580904" w:rsidRDefault="00580904" w:rsidP="00603607">
            <w:pPr>
              <w:pStyle w:val="Default"/>
              <w:jc w:val="right"/>
            </w:pPr>
          </w:p>
        </w:tc>
      </w:tr>
      <w:tr w:rsidR="00580904" w:rsidRPr="00580904" w14:paraId="57D4A661" w14:textId="77777777" w:rsidTr="002D462C">
        <w:tc>
          <w:tcPr>
            <w:tcW w:w="3701" w:type="dxa"/>
            <w:shd w:val="clear" w:color="auto" w:fill="auto"/>
          </w:tcPr>
          <w:p w14:paraId="267C9035" w14:textId="77777777" w:rsidR="00580904" w:rsidRPr="00580904" w:rsidRDefault="00580904" w:rsidP="001A0059">
            <w:pPr>
              <w:pStyle w:val="Default"/>
              <w:ind w:right="386"/>
              <w:jc w:val="both"/>
            </w:pPr>
            <w:r w:rsidRPr="00580904">
              <w:t>Telephony device refresh</w:t>
            </w:r>
          </w:p>
        </w:tc>
        <w:tc>
          <w:tcPr>
            <w:tcW w:w="1377" w:type="dxa"/>
            <w:shd w:val="clear" w:color="auto" w:fill="auto"/>
          </w:tcPr>
          <w:p w14:paraId="13B5042B" w14:textId="77777777" w:rsidR="00580904" w:rsidRPr="00580904" w:rsidRDefault="00580904" w:rsidP="00FE3714">
            <w:pPr>
              <w:pStyle w:val="Default"/>
              <w:ind w:right="34"/>
              <w:jc w:val="right"/>
            </w:pPr>
            <w:r w:rsidRPr="00580904">
              <w:t>10</w:t>
            </w:r>
          </w:p>
        </w:tc>
        <w:tc>
          <w:tcPr>
            <w:tcW w:w="1427" w:type="dxa"/>
            <w:shd w:val="clear" w:color="auto" w:fill="auto"/>
          </w:tcPr>
          <w:p w14:paraId="226DA0F7" w14:textId="77777777" w:rsidR="00580904" w:rsidRPr="00580904" w:rsidRDefault="00580904" w:rsidP="00603607">
            <w:pPr>
              <w:pStyle w:val="Default"/>
              <w:jc w:val="right"/>
            </w:pPr>
            <w:r w:rsidRPr="00580904">
              <w:t>60</w:t>
            </w:r>
          </w:p>
        </w:tc>
        <w:tc>
          <w:tcPr>
            <w:tcW w:w="1400" w:type="dxa"/>
            <w:shd w:val="clear" w:color="auto" w:fill="auto"/>
          </w:tcPr>
          <w:p w14:paraId="62C4F82C" w14:textId="77777777" w:rsidR="00580904" w:rsidRPr="00580904" w:rsidRDefault="00580904" w:rsidP="00603607">
            <w:pPr>
              <w:pStyle w:val="Default"/>
              <w:ind w:right="34"/>
              <w:jc w:val="right"/>
            </w:pPr>
            <w:r w:rsidRPr="00580904">
              <w:t>60</w:t>
            </w:r>
          </w:p>
        </w:tc>
        <w:tc>
          <w:tcPr>
            <w:tcW w:w="1415" w:type="dxa"/>
            <w:shd w:val="clear" w:color="auto" w:fill="auto"/>
          </w:tcPr>
          <w:p w14:paraId="3971A506" w14:textId="77777777" w:rsidR="00580904" w:rsidRPr="00580904" w:rsidRDefault="00580904" w:rsidP="00603607">
            <w:pPr>
              <w:pStyle w:val="Default"/>
              <w:jc w:val="right"/>
            </w:pPr>
            <w:r w:rsidRPr="00580904">
              <w:t>60</w:t>
            </w:r>
          </w:p>
        </w:tc>
      </w:tr>
      <w:tr w:rsidR="00C5519D" w:rsidRPr="00580904" w14:paraId="3D82CBCD" w14:textId="77777777" w:rsidTr="002D462C">
        <w:tc>
          <w:tcPr>
            <w:tcW w:w="3701" w:type="dxa"/>
            <w:shd w:val="clear" w:color="auto" w:fill="auto"/>
          </w:tcPr>
          <w:p w14:paraId="13FFB0DB" w14:textId="77777777" w:rsidR="00C5519D" w:rsidRPr="00580904" w:rsidRDefault="001F3A34" w:rsidP="001A0059">
            <w:pPr>
              <w:pStyle w:val="Default"/>
              <w:ind w:right="386"/>
              <w:jc w:val="both"/>
            </w:pPr>
            <w:r>
              <w:t>Capitalized planned maintenance and refurbishment</w:t>
            </w:r>
            <w:r w:rsidR="00E12325">
              <w:t xml:space="preserve"> </w:t>
            </w:r>
            <w:r w:rsidR="00E12325" w:rsidRPr="00E12325">
              <w:rPr>
                <w:b/>
              </w:rPr>
              <w:t>(3)</w:t>
            </w:r>
          </w:p>
        </w:tc>
        <w:tc>
          <w:tcPr>
            <w:tcW w:w="1377" w:type="dxa"/>
            <w:shd w:val="clear" w:color="auto" w:fill="auto"/>
          </w:tcPr>
          <w:p w14:paraId="53307E53" w14:textId="77777777" w:rsidR="00C5519D" w:rsidRPr="00580904" w:rsidRDefault="001F3A34" w:rsidP="001F3A34">
            <w:pPr>
              <w:pStyle w:val="Default"/>
              <w:ind w:right="34"/>
              <w:jc w:val="right"/>
            </w:pPr>
            <w:r>
              <w:t>825</w:t>
            </w:r>
          </w:p>
        </w:tc>
        <w:tc>
          <w:tcPr>
            <w:tcW w:w="1427" w:type="dxa"/>
            <w:shd w:val="clear" w:color="auto" w:fill="auto"/>
          </w:tcPr>
          <w:p w14:paraId="066B1BE9" w14:textId="77777777" w:rsidR="00C5519D" w:rsidRPr="00580904" w:rsidRDefault="001F3A34" w:rsidP="00603607">
            <w:pPr>
              <w:pStyle w:val="Default"/>
              <w:jc w:val="right"/>
            </w:pPr>
            <w:r>
              <w:t>325</w:t>
            </w:r>
          </w:p>
        </w:tc>
        <w:tc>
          <w:tcPr>
            <w:tcW w:w="1400" w:type="dxa"/>
            <w:shd w:val="clear" w:color="auto" w:fill="auto"/>
          </w:tcPr>
          <w:p w14:paraId="561A6062" w14:textId="77777777" w:rsidR="00C5519D" w:rsidRPr="00580904" w:rsidRDefault="001F3A34" w:rsidP="00603607">
            <w:pPr>
              <w:pStyle w:val="Default"/>
              <w:ind w:right="34"/>
              <w:jc w:val="right"/>
            </w:pPr>
            <w:r>
              <w:t>325</w:t>
            </w:r>
          </w:p>
        </w:tc>
        <w:tc>
          <w:tcPr>
            <w:tcW w:w="1415" w:type="dxa"/>
            <w:shd w:val="clear" w:color="auto" w:fill="auto"/>
          </w:tcPr>
          <w:p w14:paraId="4CF065EB" w14:textId="77777777" w:rsidR="00C5519D" w:rsidRPr="00580904" w:rsidRDefault="001F3A34" w:rsidP="00603607">
            <w:pPr>
              <w:pStyle w:val="Default"/>
              <w:jc w:val="right"/>
            </w:pPr>
            <w:r>
              <w:t>325</w:t>
            </w:r>
          </w:p>
        </w:tc>
      </w:tr>
      <w:tr w:rsidR="001F3A34" w:rsidRPr="00580904" w14:paraId="63D4D329" w14:textId="77777777" w:rsidTr="002D462C">
        <w:tc>
          <w:tcPr>
            <w:tcW w:w="3701" w:type="dxa"/>
            <w:shd w:val="clear" w:color="auto" w:fill="auto"/>
          </w:tcPr>
          <w:p w14:paraId="5DD152BC" w14:textId="77777777" w:rsidR="001F3A34" w:rsidRDefault="001F3A34" w:rsidP="001A0059">
            <w:pPr>
              <w:pStyle w:val="Default"/>
              <w:ind w:right="386"/>
              <w:jc w:val="both"/>
            </w:pPr>
            <w:r>
              <w:t>Discretionary funding for housing improvements re disabled adaptations</w:t>
            </w:r>
          </w:p>
        </w:tc>
        <w:tc>
          <w:tcPr>
            <w:tcW w:w="1377" w:type="dxa"/>
            <w:shd w:val="clear" w:color="auto" w:fill="auto"/>
          </w:tcPr>
          <w:p w14:paraId="425FD947" w14:textId="77777777" w:rsidR="001F3A34" w:rsidRDefault="001F3A34" w:rsidP="00603607">
            <w:pPr>
              <w:pStyle w:val="Default"/>
              <w:ind w:right="34"/>
              <w:jc w:val="right"/>
            </w:pPr>
            <w:r>
              <w:t>15</w:t>
            </w:r>
          </w:p>
        </w:tc>
        <w:tc>
          <w:tcPr>
            <w:tcW w:w="1427" w:type="dxa"/>
            <w:shd w:val="clear" w:color="auto" w:fill="auto"/>
          </w:tcPr>
          <w:p w14:paraId="721F509B" w14:textId="77777777" w:rsidR="001F3A34" w:rsidRPr="00580904" w:rsidRDefault="001F3A34" w:rsidP="00603607">
            <w:pPr>
              <w:pStyle w:val="Default"/>
              <w:jc w:val="right"/>
            </w:pPr>
            <w:r>
              <w:t>15</w:t>
            </w:r>
          </w:p>
        </w:tc>
        <w:tc>
          <w:tcPr>
            <w:tcW w:w="1400" w:type="dxa"/>
            <w:shd w:val="clear" w:color="auto" w:fill="auto"/>
          </w:tcPr>
          <w:p w14:paraId="36644604" w14:textId="77777777" w:rsidR="001F3A34" w:rsidRPr="00580904" w:rsidRDefault="001F3A34" w:rsidP="00603607">
            <w:pPr>
              <w:pStyle w:val="Default"/>
              <w:ind w:right="34"/>
              <w:jc w:val="right"/>
            </w:pPr>
            <w:r>
              <w:t>15</w:t>
            </w:r>
          </w:p>
        </w:tc>
        <w:tc>
          <w:tcPr>
            <w:tcW w:w="1415" w:type="dxa"/>
            <w:shd w:val="clear" w:color="auto" w:fill="auto"/>
          </w:tcPr>
          <w:p w14:paraId="3FDEDD19" w14:textId="77777777" w:rsidR="001F3A34" w:rsidRPr="00580904" w:rsidRDefault="001F3A34" w:rsidP="00603607">
            <w:pPr>
              <w:pStyle w:val="Default"/>
              <w:jc w:val="right"/>
            </w:pPr>
            <w:r>
              <w:t>15</w:t>
            </w:r>
          </w:p>
        </w:tc>
      </w:tr>
      <w:tr w:rsidR="00C5519D" w:rsidRPr="00580904" w14:paraId="1BD0F9DF" w14:textId="77777777" w:rsidTr="002D462C">
        <w:tc>
          <w:tcPr>
            <w:tcW w:w="3701" w:type="dxa"/>
            <w:shd w:val="clear" w:color="auto" w:fill="auto"/>
          </w:tcPr>
          <w:p w14:paraId="76B5A5E1" w14:textId="77777777" w:rsidR="00C5519D" w:rsidRPr="00580904" w:rsidRDefault="001F3A34" w:rsidP="001A0059">
            <w:pPr>
              <w:pStyle w:val="Default"/>
              <w:ind w:right="386"/>
              <w:jc w:val="both"/>
            </w:pPr>
            <w:r>
              <w:t>Controlled Parking zones</w:t>
            </w:r>
            <w:r w:rsidR="004C37C3">
              <w:t xml:space="preserve"> </w:t>
            </w:r>
            <w:r w:rsidR="004C37C3" w:rsidRPr="000A112B">
              <w:rPr>
                <w:b/>
              </w:rPr>
              <w:t>(4)</w:t>
            </w:r>
          </w:p>
        </w:tc>
        <w:tc>
          <w:tcPr>
            <w:tcW w:w="1377" w:type="dxa"/>
            <w:shd w:val="clear" w:color="auto" w:fill="auto"/>
          </w:tcPr>
          <w:p w14:paraId="31A9AEB6" w14:textId="77777777" w:rsidR="00C5519D" w:rsidRPr="00580904" w:rsidRDefault="001F3A34" w:rsidP="00603607">
            <w:pPr>
              <w:pStyle w:val="Default"/>
              <w:ind w:right="34"/>
              <w:jc w:val="right"/>
            </w:pPr>
            <w:r>
              <w:t>200</w:t>
            </w:r>
          </w:p>
        </w:tc>
        <w:tc>
          <w:tcPr>
            <w:tcW w:w="1427" w:type="dxa"/>
            <w:shd w:val="clear" w:color="auto" w:fill="auto"/>
          </w:tcPr>
          <w:p w14:paraId="55A04D43" w14:textId="77777777" w:rsidR="00C5519D" w:rsidRPr="00580904" w:rsidRDefault="00C5519D" w:rsidP="00603607">
            <w:pPr>
              <w:pStyle w:val="Default"/>
              <w:jc w:val="right"/>
            </w:pPr>
          </w:p>
        </w:tc>
        <w:tc>
          <w:tcPr>
            <w:tcW w:w="1400" w:type="dxa"/>
            <w:shd w:val="clear" w:color="auto" w:fill="auto"/>
          </w:tcPr>
          <w:p w14:paraId="01C0F8AF" w14:textId="77777777" w:rsidR="00C5519D" w:rsidRPr="00580904" w:rsidRDefault="00C5519D" w:rsidP="00603607">
            <w:pPr>
              <w:pStyle w:val="Default"/>
              <w:ind w:right="34"/>
              <w:jc w:val="right"/>
            </w:pPr>
          </w:p>
        </w:tc>
        <w:tc>
          <w:tcPr>
            <w:tcW w:w="1415" w:type="dxa"/>
            <w:shd w:val="clear" w:color="auto" w:fill="auto"/>
          </w:tcPr>
          <w:p w14:paraId="6310EFEB" w14:textId="77777777" w:rsidR="00C5519D" w:rsidRPr="00580904" w:rsidRDefault="00C5519D" w:rsidP="00603607">
            <w:pPr>
              <w:pStyle w:val="Default"/>
              <w:jc w:val="right"/>
            </w:pPr>
          </w:p>
        </w:tc>
      </w:tr>
      <w:tr w:rsidR="00C5519D" w:rsidRPr="00580904" w14:paraId="79C25A6E" w14:textId="77777777" w:rsidTr="002D462C">
        <w:tc>
          <w:tcPr>
            <w:tcW w:w="3701" w:type="dxa"/>
            <w:shd w:val="clear" w:color="auto" w:fill="auto"/>
          </w:tcPr>
          <w:p w14:paraId="3B0E8EEB" w14:textId="77777777" w:rsidR="00C5519D" w:rsidRPr="00580904" w:rsidRDefault="00C5519D" w:rsidP="008663F4">
            <w:pPr>
              <w:pStyle w:val="Default"/>
              <w:ind w:right="386"/>
              <w:jc w:val="both"/>
              <w:rPr>
                <w:b/>
              </w:rPr>
            </w:pPr>
            <w:r w:rsidRPr="00580904">
              <w:rPr>
                <w:b/>
              </w:rPr>
              <w:t xml:space="preserve">Total </w:t>
            </w:r>
            <w:r w:rsidR="008663F4">
              <w:rPr>
                <w:b/>
              </w:rPr>
              <w:t>General Fund N</w:t>
            </w:r>
            <w:r w:rsidRPr="00580904">
              <w:rPr>
                <w:b/>
              </w:rPr>
              <w:t>ew bids</w:t>
            </w:r>
          </w:p>
        </w:tc>
        <w:tc>
          <w:tcPr>
            <w:tcW w:w="1377" w:type="dxa"/>
            <w:shd w:val="clear" w:color="auto" w:fill="auto"/>
          </w:tcPr>
          <w:p w14:paraId="388D9BF9" w14:textId="77777777" w:rsidR="00C5519D" w:rsidRPr="00580904" w:rsidRDefault="00256B2D" w:rsidP="00A66C0B">
            <w:pPr>
              <w:pStyle w:val="Default"/>
              <w:ind w:right="34"/>
              <w:jc w:val="right"/>
              <w:rPr>
                <w:b/>
              </w:rPr>
            </w:pPr>
            <w:r>
              <w:rPr>
                <w:b/>
              </w:rPr>
              <w:t>4,8</w:t>
            </w:r>
            <w:r w:rsidR="00A66C0B">
              <w:rPr>
                <w:b/>
              </w:rPr>
              <w:t>97</w:t>
            </w:r>
          </w:p>
        </w:tc>
        <w:tc>
          <w:tcPr>
            <w:tcW w:w="1427" w:type="dxa"/>
            <w:shd w:val="clear" w:color="auto" w:fill="auto"/>
          </w:tcPr>
          <w:p w14:paraId="2BA567B1" w14:textId="77777777" w:rsidR="00C5519D" w:rsidRPr="00580904" w:rsidRDefault="00256B2D" w:rsidP="00256B2D">
            <w:pPr>
              <w:pStyle w:val="Default"/>
              <w:jc w:val="right"/>
              <w:rPr>
                <w:b/>
              </w:rPr>
            </w:pPr>
            <w:r>
              <w:rPr>
                <w:b/>
              </w:rPr>
              <w:t>4</w:t>
            </w:r>
            <w:r w:rsidR="00580904" w:rsidRPr="00580904">
              <w:rPr>
                <w:b/>
              </w:rPr>
              <w:t>,</w:t>
            </w:r>
            <w:r>
              <w:rPr>
                <w:b/>
              </w:rPr>
              <w:t>2</w:t>
            </w:r>
            <w:r w:rsidR="001F3A34">
              <w:rPr>
                <w:b/>
              </w:rPr>
              <w:t>5</w:t>
            </w:r>
            <w:r w:rsidR="00580904" w:rsidRPr="00580904">
              <w:rPr>
                <w:b/>
              </w:rPr>
              <w:t>0</w:t>
            </w:r>
          </w:p>
        </w:tc>
        <w:tc>
          <w:tcPr>
            <w:tcW w:w="1400" w:type="dxa"/>
            <w:shd w:val="clear" w:color="auto" w:fill="auto"/>
          </w:tcPr>
          <w:p w14:paraId="0387A8AD" w14:textId="77777777" w:rsidR="00C5519D" w:rsidRPr="00580904" w:rsidRDefault="001F3A34" w:rsidP="00603607">
            <w:pPr>
              <w:pStyle w:val="Default"/>
              <w:ind w:right="34"/>
              <w:jc w:val="right"/>
              <w:rPr>
                <w:b/>
              </w:rPr>
            </w:pPr>
            <w:r>
              <w:rPr>
                <w:b/>
              </w:rPr>
              <w:t>85</w:t>
            </w:r>
            <w:r w:rsidR="00580904" w:rsidRPr="00580904">
              <w:rPr>
                <w:b/>
              </w:rPr>
              <w:t>0</w:t>
            </w:r>
          </w:p>
        </w:tc>
        <w:tc>
          <w:tcPr>
            <w:tcW w:w="1415" w:type="dxa"/>
            <w:shd w:val="clear" w:color="auto" w:fill="auto"/>
          </w:tcPr>
          <w:p w14:paraId="065EB13E" w14:textId="77777777" w:rsidR="00C5519D" w:rsidRPr="00580904" w:rsidRDefault="00A71EC3" w:rsidP="00603607">
            <w:pPr>
              <w:pStyle w:val="Default"/>
              <w:jc w:val="right"/>
              <w:rPr>
                <w:b/>
              </w:rPr>
            </w:pPr>
            <w:r>
              <w:rPr>
                <w:b/>
              </w:rPr>
              <w:t>850</w:t>
            </w:r>
          </w:p>
        </w:tc>
      </w:tr>
    </w:tbl>
    <w:p w14:paraId="30143608" w14:textId="77777777" w:rsidR="00D0012F" w:rsidRPr="00894B8A" w:rsidRDefault="00D0012F" w:rsidP="0080626D">
      <w:pPr>
        <w:pStyle w:val="Default"/>
        <w:ind w:left="567" w:right="386" w:hanging="567"/>
        <w:jc w:val="both"/>
        <w:rPr>
          <w:highlight w:val="yellow"/>
        </w:rPr>
      </w:pPr>
    </w:p>
    <w:p w14:paraId="1269A55B" w14:textId="1EC93A04" w:rsidR="00D0012F" w:rsidRPr="008D6AFC" w:rsidRDefault="00E01737" w:rsidP="008D6AFC">
      <w:pPr>
        <w:spacing w:before="240" w:after="120"/>
        <w:outlineLvl w:val="0"/>
        <w:rPr>
          <w:b/>
          <w:color w:val="000000"/>
          <w:lang w:eastAsia="en-GB"/>
        </w:rPr>
      </w:pPr>
      <w:r w:rsidRPr="008D6AFC">
        <w:rPr>
          <w:b/>
          <w:color w:val="000000"/>
          <w:lang w:eastAsia="en-GB"/>
        </w:rPr>
        <w:t>Notes</w:t>
      </w:r>
      <w:r w:rsidR="003723F8" w:rsidRPr="008D6AFC">
        <w:rPr>
          <w:b/>
          <w:color w:val="000000"/>
          <w:lang w:eastAsia="en-GB"/>
        </w:rPr>
        <w:t>:</w:t>
      </w:r>
    </w:p>
    <w:p w14:paraId="79F93C5E" w14:textId="28C369A5" w:rsidR="00E12325" w:rsidRDefault="00E01737" w:rsidP="0080626D">
      <w:pPr>
        <w:pStyle w:val="Default"/>
        <w:ind w:left="567" w:right="386" w:hanging="567"/>
        <w:jc w:val="both"/>
      </w:pPr>
      <w:r w:rsidRPr="000F4333">
        <w:tab/>
      </w:r>
      <w:r w:rsidR="009E1C3C" w:rsidRPr="000F4333">
        <w:rPr>
          <w:b/>
        </w:rPr>
        <w:t>(</w:t>
      </w:r>
      <w:r w:rsidR="00580904" w:rsidRPr="000F4333">
        <w:rPr>
          <w:b/>
        </w:rPr>
        <w:t>1</w:t>
      </w:r>
      <w:r w:rsidR="009E1C3C" w:rsidRPr="000F4333">
        <w:rPr>
          <w:b/>
        </w:rPr>
        <w:t>)</w:t>
      </w:r>
      <w:r w:rsidR="008D6AFC">
        <w:rPr>
          <w:b/>
        </w:rPr>
        <w:t xml:space="preserve"> </w:t>
      </w:r>
      <w:r w:rsidRPr="000F4333">
        <w:rPr>
          <w:b/>
        </w:rPr>
        <w:t>Purchase of properties</w:t>
      </w:r>
      <w:r w:rsidRPr="000F4333">
        <w:t xml:space="preserve"> </w:t>
      </w:r>
      <w:r w:rsidRPr="000F4333">
        <w:rPr>
          <w:b/>
        </w:rPr>
        <w:t>for homeless famil</w:t>
      </w:r>
      <w:r w:rsidR="00C73BD1" w:rsidRPr="000F4333">
        <w:rPr>
          <w:b/>
        </w:rPr>
        <w:t>i</w:t>
      </w:r>
      <w:r w:rsidRPr="000F4333">
        <w:rPr>
          <w:b/>
        </w:rPr>
        <w:t>es</w:t>
      </w:r>
      <w:r w:rsidRPr="000F4333">
        <w:t xml:space="preserve"> </w:t>
      </w:r>
      <w:r w:rsidR="00EE05D1" w:rsidRPr="000F4333">
        <w:t xml:space="preserve">– </w:t>
      </w:r>
      <w:r w:rsidR="005E72C8">
        <w:t xml:space="preserve">Further properties purchased through </w:t>
      </w:r>
      <w:r w:rsidR="00580904" w:rsidRPr="000F4333">
        <w:t xml:space="preserve">the Real Assets Letting scheme in conjunction with Resonance and St </w:t>
      </w:r>
      <w:proofErr w:type="spellStart"/>
      <w:r w:rsidR="00580904" w:rsidRPr="000F4333">
        <w:t>Mungos</w:t>
      </w:r>
      <w:proofErr w:type="spellEnd"/>
      <w:r w:rsidR="00580904" w:rsidRPr="000F4333">
        <w:t xml:space="preserve"> Broadway in which the Council has already invested £10million. The additional £5million will provide another 15-20 homes for homeless families, </w:t>
      </w:r>
      <w:r w:rsidR="0035721F" w:rsidRPr="000F4333">
        <w:t xml:space="preserve">providing additional net income and savings on the temporary </w:t>
      </w:r>
      <w:r w:rsidR="007C1D05" w:rsidRPr="000F4333">
        <w:t>accomm</w:t>
      </w:r>
      <w:r w:rsidR="007C1D05">
        <w:t>od</w:t>
      </w:r>
      <w:r w:rsidR="007C1D05" w:rsidRPr="000F4333">
        <w:t>ation</w:t>
      </w:r>
      <w:r w:rsidR="0035721F" w:rsidRPr="000F4333">
        <w:t xml:space="preserve"> homelessness budget.   </w:t>
      </w:r>
    </w:p>
    <w:p w14:paraId="698DD7B5" w14:textId="77777777" w:rsidR="00E01737" w:rsidRDefault="00E12325" w:rsidP="0080626D">
      <w:pPr>
        <w:pStyle w:val="Default"/>
        <w:ind w:left="567" w:right="386" w:hanging="567"/>
        <w:jc w:val="both"/>
      </w:pPr>
      <w:r>
        <w:rPr>
          <w:b/>
        </w:rPr>
        <w:tab/>
        <w:t xml:space="preserve">(2) Covered market - </w:t>
      </w:r>
      <w:r w:rsidRPr="00E12325">
        <w:t>Works to the indoor covered market including roofing, public conveniences, signage, external paving</w:t>
      </w:r>
      <w:r w:rsidR="00EE05D1" w:rsidRPr="000F4333">
        <w:t xml:space="preserve"> </w:t>
      </w:r>
    </w:p>
    <w:p w14:paraId="01993ACF" w14:textId="77777777" w:rsidR="00E12325" w:rsidRDefault="00E12325" w:rsidP="0080626D">
      <w:pPr>
        <w:pStyle w:val="Default"/>
        <w:ind w:left="567" w:right="386" w:hanging="567"/>
        <w:jc w:val="both"/>
      </w:pPr>
      <w:r>
        <w:rPr>
          <w:b/>
        </w:rPr>
        <w:tab/>
        <w:t xml:space="preserve">(3) Planned maintenance – </w:t>
      </w:r>
      <w:r w:rsidRPr="00E12325">
        <w:t xml:space="preserve">Planned maintenance and refurbishment of commercial property including Floyds Row and Queen Street, community </w:t>
      </w:r>
      <w:proofErr w:type="spellStart"/>
      <w:r w:rsidRPr="00E12325">
        <w:t>centres</w:t>
      </w:r>
      <w:proofErr w:type="spellEnd"/>
      <w:r w:rsidRPr="00E12325">
        <w:t xml:space="preserve">, pavilions and other corporate property </w:t>
      </w:r>
    </w:p>
    <w:p w14:paraId="6E71DAEF" w14:textId="77777777" w:rsidR="004C37C3" w:rsidRPr="004C37C3" w:rsidRDefault="004C37C3" w:rsidP="008D6AFC">
      <w:pPr>
        <w:pStyle w:val="Default"/>
        <w:ind w:left="567" w:right="386"/>
        <w:jc w:val="both"/>
      </w:pPr>
      <w:r>
        <w:rPr>
          <w:b/>
        </w:rPr>
        <w:t>(4) Controlled Parking Zones</w:t>
      </w:r>
      <w:r>
        <w:t xml:space="preserve">: This will provide additional funding for controlled parking zones in areas where consultation demonstrates there is local support, and the need is supported by the Highways Authority. </w:t>
      </w:r>
    </w:p>
    <w:p w14:paraId="20E8E476" w14:textId="77777777" w:rsidR="008663F4" w:rsidRDefault="00E01737" w:rsidP="0080626D">
      <w:pPr>
        <w:pStyle w:val="Default"/>
        <w:ind w:left="567" w:right="386" w:hanging="567"/>
        <w:jc w:val="both"/>
      </w:pPr>
      <w:r w:rsidRPr="000F4333">
        <w:tab/>
      </w:r>
    </w:p>
    <w:p w14:paraId="21913599" w14:textId="77777777" w:rsidR="00A067D9" w:rsidRDefault="00390239" w:rsidP="0001206E">
      <w:pPr>
        <w:pStyle w:val="Default"/>
        <w:tabs>
          <w:tab w:val="left" w:pos="709"/>
        </w:tabs>
        <w:ind w:left="567" w:right="386" w:hanging="567"/>
        <w:jc w:val="both"/>
      </w:pPr>
      <w:r>
        <w:t>72</w:t>
      </w:r>
      <w:r w:rsidR="002719F1" w:rsidRPr="00803860">
        <w:tab/>
      </w:r>
      <w:r w:rsidR="00A067D9" w:rsidRPr="000F4333">
        <w:t xml:space="preserve">Incorporating the items shown in </w:t>
      </w:r>
      <w:r w:rsidR="00A067D9" w:rsidRPr="000F4333">
        <w:rPr>
          <w:lang w:val="en-GB"/>
        </w:rPr>
        <w:t xml:space="preserve">Table </w:t>
      </w:r>
      <w:r w:rsidR="00EE6A4D">
        <w:rPr>
          <w:lang w:val="en-GB"/>
        </w:rPr>
        <w:t xml:space="preserve">9 </w:t>
      </w:r>
      <w:r w:rsidR="00A067D9" w:rsidRPr="000F4333">
        <w:t xml:space="preserve">above the full </w:t>
      </w:r>
      <w:r w:rsidR="00256B2D">
        <w:t xml:space="preserve">amount </w:t>
      </w:r>
      <w:r w:rsidR="00A067D9" w:rsidRPr="000F4333">
        <w:t xml:space="preserve">of investment </w:t>
      </w:r>
      <w:r w:rsidR="00A067D9" w:rsidRPr="000F4333">
        <w:rPr>
          <w:lang w:val="en-GB"/>
        </w:rPr>
        <w:t xml:space="preserve">is </w:t>
      </w:r>
      <w:r w:rsidR="00A067D9" w:rsidRPr="000F4333">
        <w:t xml:space="preserve">shown in Appendix 6 </w:t>
      </w:r>
      <w:r w:rsidR="00A067D9" w:rsidRPr="000F4333">
        <w:rPr>
          <w:lang w:val="en-GB"/>
        </w:rPr>
        <w:t xml:space="preserve">and </w:t>
      </w:r>
      <w:r w:rsidR="00A067D9" w:rsidRPr="000F4333">
        <w:t xml:space="preserve">includes other significant items such as  </w:t>
      </w:r>
      <w:r w:rsidR="00A32C96">
        <w:t xml:space="preserve">the </w:t>
      </w:r>
      <w:r w:rsidR="00A067D9" w:rsidRPr="000F4333">
        <w:t xml:space="preserve">Museum of Oxford </w:t>
      </w:r>
      <w:r w:rsidR="00776A36">
        <w:t xml:space="preserve">£2.842 </w:t>
      </w:r>
      <w:r w:rsidR="00776A36" w:rsidRPr="00776A36">
        <w:t>million</w:t>
      </w:r>
      <w:r w:rsidR="00776A36">
        <w:t>,</w:t>
      </w:r>
      <w:r w:rsidR="00A067D9" w:rsidRPr="00776A36">
        <w:t xml:space="preserve"> </w:t>
      </w:r>
      <w:r w:rsidR="00A067D9" w:rsidRPr="000F4333">
        <w:t>flood relief scheme</w:t>
      </w:r>
      <w:r w:rsidR="00EE20D4">
        <w:rPr>
          <w:lang w:val="en-GB"/>
        </w:rPr>
        <w:t xml:space="preserve"> £2.6 million</w:t>
      </w:r>
      <w:r w:rsidR="00A067D9" w:rsidRPr="000F4333">
        <w:t xml:space="preserve">, community </w:t>
      </w:r>
      <w:proofErr w:type="spellStart"/>
      <w:r w:rsidR="00A067D9" w:rsidRPr="000F4333">
        <w:t>centre</w:t>
      </w:r>
      <w:proofErr w:type="spellEnd"/>
      <w:r w:rsidR="00A067D9" w:rsidRPr="000F4333">
        <w:t xml:space="preserve"> improvements £3.8 million, Disabled Facility Grants £4.5 million, parks, open spaces and athletics facilities £5 million, car parks resurfacing and improvements £1.2 million, ongoing renewal of council vehicles £9.2 million, £6</w:t>
      </w:r>
      <w:r w:rsidR="00A66C0B">
        <w:t>1</w:t>
      </w:r>
      <w:r w:rsidR="00A067D9" w:rsidRPr="000F4333">
        <w:t xml:space="preserve"> </w:t>
      </w:r>
      <w:r w:rsidR="00A067D9" w:rsidRPr="00803860">
        <w:t>million loans to companies, investment in ICT £2.4 million and improvements to investment properties £9.2 million.</w:t>
      </w:r>
    </w:p>
    <w:p w14:paraId="5AC1E0EF" w14:textId="77777777" w:rsidR="00A067D9" w:rsidRDefault="00A067D9" w:rsidP="0001206E">
      <w:pPr>
        <w:pStyle w:val="Default"/>
        <w:tabs>
          <w:tab w:val="left" w:pos="709"/>
        </w:tabs>
        <w:ind w:left="567" w:right="386" w:hanging="567"/>
        <w:jc w:val="both"/>
      </w:pPr>
    </w:p>
    <w:p w14:paraId="5ADF0D0F" w14:textId="77777777" w:rsidR="002719F1" w:rsidRPr="00803860" w:rsidRDefault="00390239" w:rsidP="0001206E">
      <w:pPr>
        <w:pStyle w:val="Default"/>
        <w:tabs>
          <w:tab w:val="left" w:pos="709"/>
        </w:tabs>
        <w:ind w:left="567" w:right="386" w:hanging="567"/>
        <w:jc w:val="both"/>
      </w:pPr>
      <w:r>
        <w:t>73</w:t>
      </w:r>
      <w:r w:rsidR="00A067D9">
        <w:tab/>
      </w:r>
      <w:r w:rsidR="0001206E" w:rsidRPr="00803860">
        <w:t>F</w:t>
      </w:r>
      <w:r w:rsidR="002719F1" w:rsidRPr="00803860">
        <w:t>und</w:t>
      </w:r>
      <w:r w:rsidR="0001206E" w:rsidRPr="00803860">
        <w:t xml:space="preserve">ing of the </w:t>
      </w:r>
      <w:proofErr w:type="spellStart"/>
      <w:r w:rsidR="0001206E" w:rsidRPr="00803860">
        <w:t>Programme</w:t>
      </w:r>
      <w:proofErr w:type="spellEnd"/>
      <w:r w:rsidR="0001206E" w:rsidRPr="00803860">
        <w:t xml:space="preserve"> is </w:t>
      </w:r>
      <w:r w:rsidR="002719F1" w:rsidRPr="00803860">
        <w:t xml:space="preserve">by revenue </w:t>
      </w:r>
      <w:r w:rsidR="00A067D9">
        <w:t>£</w:t>
      </w:r>
      <w:r w:rsidR="00E12325">
        <w:t>16.1</w:t>
      </w:r>
      <w:r w:rsidR="00A067D9">
        <w:t xml:space="preserve"> million </w:t>
      </w:r>
      <w:r w:rsidR="002719F1" w:rsidRPr="00803860">
        <w:t>(</w:t>
      </w:r>
      <w:r w:rsidR="008A33CB" w:rsidRPr="00803860">
        <w:t>1</w:t>
      </w:r>
      <w:r w:rsidR="00255D4B">
        <w:t>1</w:t>
      </w:r>
      <w:r w:rsidR="002719F1" w:rsidRPr="00803860">
        <w:t>%)</w:t>
      </w:r>
      <w:r w:rsidR="00ED7592" w:rsidRPr="00803860">
        <w:t xml:space="preserve">, </w:t>
      </w:r>
      <w:r w:rsidR="00504A19" w:rsidRPr="00803860">
        <w:t xml:space="preserve">Capital </w:t>
      </w:r>
      <w:r w:rsidR="00C32D43" w:rsidRPr="00803860">
        <w:rPr>
          <w:lang w:val="en-GB"/>
        </w:rPr>
        <w:t>Receipts</w:t>
      </w:r>
      <w:r w:rsidR="00504A19" w:rsidRPr="00803860">
        <w:t xml:space="preserve"> </w:t>
      </w:r>
      <w:r w:rsidR="00A067D9">
        <w:t>£</w:t>
      </w:r>
      <w:r w:rsidR="00E12325">
        <w:t>38.3</w:t>
      </w:r>
      <w:r w:rsidR="00A067D9">
        <w:t xml:space="preserve"> million </w:t>
      </w:r>
      <w:r w:rsidR="00504A19" w:rsidRPr="00803860">
        <w:t>(</w:t>
      </w:r>
      <w:r w:rsidR="00803860" w:rsidRPr="00803860">
        <w:t>2</w:t>
      </w:r>
      <w:r w:rsidR="00E12325">
        <w:t>6</w:t>
      </w:r>
      <w:r w:rsidR="00A067D9">
        <w:t>.1</w:t>
      </w:r>
      <w:r w:rsidR="00E64CC6" w:rsidRPr="00803860">
        <w:t>%</w:t>
      </w:r>
      <w:r w:rsidR="00504A19" w:rsidRPr="00803860">
        <w:t xml:space="preserve">) </w:t>
      </w:r>
      <w:r w:rsidR="00ED7592" w:rsidRPr="00803860">
        <w:t xml:space="preserve">Community Infrastructure Levy </w:t>
      </w:r>
      <w:r w:rsidR="00A067D9">
        <w:t>£</w:t>
      </w:r>
      <w:r w:rsidR="00E12325">
        <w:t>4.0</w:t>
      </w:r>
      <w:r w:rsidR="00A067D9">
        <w:t xml:space="preserve"> million </w:t>
      </w:r>
      <w:r w:rsidR="00ED7592" w:rsidRPr="00803860">
        <w:t>(</w:t>
      </w:r>
      <w:r w:rsidR="00E12325">
        <w:t>2</w:t>
      </w:r>
      <w:r w:rsidR="00A067D9">
        <w:t>.7</w:t>
      </w:r>
      <w:r w:rsidR="00ED7592" w:rsidRPr="00803860">
        <w:t>%)</w:t>
      </w:r>
      <w:r w:rsidR="00411035" w:rsidRPr="00803860">
        <w:t xml:space="preserve">, borrowing </w:t>
      </w:r>
      <w:r w:rsidR="00A067D9">
        <w:t>£8</w:t>
      </w:r>
      <w:r w:rsidR="00E12325">
        <w:t>1</w:t>
      </w:r>
      <w:r w:rsidR="00A067D9">
        <w:t>.</w:t>
      </w:r>
      <w:r w:rsidR="00E12325">
        <w:t>9</w:t>
      </w:r>
      <w:r w:rsidR="00A067D9">
        <w:t xml:space="preserve"> million </w:t>
      </w:r>
      <w:r w:rsidR="00411035" w:rsidRPr="00803860">
        <w:t>(</w:t>
      </w:r>
      <w:r w:rsidR="00255D4B">
        <w:t>55.9</w:t>
      </w:r>
      <w:r w:rsidR="00411035" w:rsidRPr="00803860">
        <w:t>%)</w:t>
      </w:r>
      <w:r w:rsidR="002719F1" w:rsidRPr="00803860">
        <w:t xml:space="preserve"> </w:t>
      </w:r>
      <w:r w:rsidR="007C1D05" w:rsidRPr="00803860">
        <w:t>and</w:t>
      </w:r>
      <w:r w:rsidR="002719F1" w:rsidRPr="00803860">
        <w:t xml:space="preserve"> Government Grants and third party contributions </w:t>
      </w:r>
      <w:r w:rsidR="00A067D9">
        <w:t>£</w:t>
      </w:r>
      <w:r w:rsidR="00E12325">
        <w:t>6.3</w:t>
      </w:r>
      <w:r w:rsidR="00A067D9">
        <w:t xml:space="preserve"> million </w:t>
      </w:r>
      <w:r w:rsidR="002719F1" w:rsidRPr="00803860">
        <w:t>(</w:t>
      </w:r>
      <w:r w:rsidR="00255D4B">
        <w:t>4</w:t>
      </w:r>
      <w:r w:rsidR="00A067D9">
        <w:t>.</w:t>
      </w:r>
      <w:r w:rsidR="00255D4B">
        <w:t>3</w:t>
      </w:r>
      <w:r w:rsidR="002719F1" w:rsidRPr="00803860">
        <w:t xml:space="preserve">%). All revenue costs have been included in the General Fund revenue budget. </w:t>
      </w:r>
    </w:p>
    <w:p w14:paraId="3A04E94B" w14:textId="77777777" w:rsidR="00F34E29" w:rsidRPr="00802EFD" w:rsidRDefault="00F34E29" w:rsidP="002B7914">
      <w:pPr>
        <w:pStyle w:val="Default"/>
        <w:ind w:left="567" w:right="386" w:hanging="567"/>
        <w:jc w:val="both"/>
      </w:pPr>
    </w:p>
    <w:p w14:paraId="0885476A" w14:textId="1A43315B" w:rsidR="003F790E" w:rsidRPr="008D6AFC" w:rsidRDefault="003F790E" w:rsidP="008D6AFC">
      <w:pPr>
        <w:spacing w:before="240" w:after="120"/>
        <w:outlineLvl w:val="0"/>
        <w:rPr>
          <w:b/>
          <w:color w:val="000000"/>
          <w:lang w:eastAsia="en-GB"/>
        </w:rPr>
      </w:pPr>
      <w:r w:rsidRPr="008D6AFC">
        <w:rPr>
          <w:b/>
          <w:color w:val="000000"/>
          <w:lang w:eastAsia="en-GB"/>
        </w:rPr>
        <w:t>Housing Company</w:t>
      </w:r>
    </w:p>
    <w:p w14:paraId="7C11554B" w14:textId="77777777" w:rsidR="00802EFD" w:rsidRPr="00DE29ED" w:rsidRDefault="00390239" w:rsidP="003F790E">
      <w:pPr>
        <w:pStyle w:val="Default"/>
        <w:ind w:left="567" w:right="386" w:hanging="567"/>
        <w:jc w:val="both"/>
        <w:rPr>
          <w:lang w:val="en-GB"/>
        </w:rPr>
      </w:pPr>
      <w:r>
        <w:t>74</w:t>
      </w:r>
      <w:r w:rsidR="003F790E" w:rsidRPr="00802EFD">
        <w:tab/>
        <w:t xml:space="preserve">In March 2016 the Council approved the establishment of a Local Authority housing company and the company was incorporated in June 2016. The Company Business Plan </w:t>
      </w:r>
      <w:r w:rsidR="00F21599">
        <w:rPr>
          <w:lang w:val="en-GB"/>
        </w:rPr>
        <w:t>agreed with the Shareholder</w:t>
      </w:r>
      <w:r w:rsidR="00143F4B">
        <w:rPr>
          <w:lang w:val="en-GB"/>
        </w:rPr>
        <w:t xml:space="preserve"> </w:t>
      </w:r>
      <w:r w:rsidR="003F790E" w:rsidRPr="00802EFD">
        <w:t>set</w:t>
      </w:r>
      <w:r w:rsidR="00143F4B">
        <w:rPr>
          <w:lang w:val="en-GB"/>
        </w:rPr>
        <w:t>s</w:t>
      </w:r>
      <w:r w:rsidR="003F790E" w:rsidRPr="00802EFD">
        <w:t xml:space="preserve"> out plans to undertake, the purchase and management of affordable rented homes at Barton, the develop</w:t>
      </w:r>
      <w:r w:rsidR="00D07F73" w:rsidRPr="00802EFD">
        <w:t>ment</w:t>
      </w:r>
      <w:r w:rsidR="003F790E" w:rsidRPr="00802EFD">
        <w:t xml:space="preserve"> of new affordable and market housing, the purchase of </w:t>
      </w:r>
      <w:r w:rsidR="00D07F73" w:rsidRPr="00802EFD">
        <w:t xml:space="preserve">5 </w:t>
      </w:r>
      <w:r w:rsidR="003F790E" w:rsidRPr="00802EFD">
        <w:t xml:space="preserve">void properties </w:t>
      </w:r>
      <w:r w:rsidR="00C32D43" w:rsidRPr="00802EFD">
        <w:rPr>
          <w:lang w:val="en-GB"/>
        </w:rPr>
        <w:t xml:space="preserve">per annum </w:t>
      </w:r>
      <w:r w:rsidR="003F790E" w:rsidRPr="00802EFD">
        <w:t xml:space="preserve">from the HRA </w:t>
      </w:r>
      <w:r w:rsidR="009F66F4">
        <w:rPr>
          <w:lang w:val="en-GB"/>
        </w:rPr>
        <w:t>as well as future estate regeneration.</w:t>
      </w:r>
    </w:p>
    <w:p w14:paraId="40020965" w14:textId="77777777" w:rsidR="00802EFD" w:rsidRPr="00802EFD" w:rsidRDefault="00802EFD" w:rsidP="003F790E">
      <w:pPr>
        <w:pStyle w:val="Default"/>
        <w:ind w:left="567" w:right="386" w:hanging="567"/>
        <w:jc w:val="both"/>
      </w:pPr>
    </w:p>
    <w:p w14:paraId="292F37F1" w14:textId="77777777" w:rsidR="003F790E" w:rsidRPr="00802EFD" w:rsidRDefault="00390239" w:rsidP="003F790E">
      <w:pPr>
        <w:pStyle w:val="Default"/>
        <w:ind w:left="567" w:right="386" w:hanging="567"/>
        <w:jc w:val="both"/>
      </w:pPr>
      <w:r>
        <w:t>75</w:t>
      </w:r>
      <w:r w:rsidR="00802EFD" w:rsidRPr="00802EFD">
        <w:tab/>
        <w:t>The Company purchase</w:t>
      </w:r>
      <w:r w:rsidR="00E857FF">
        <w:t>d</w:t>
      </w:r>
      <w:r w:rsidR="00802EFD" w:rsidRPr="00802EFD">
        <w:t xml:space="preserve"> 5 properties in 2016/17 </w:t>
      </w:r>
      <w:r w:rsidR="00E857FF">
        <w:t xml:space="preserve">for around £776k </w:t>
      </w:r>
      <w:r w:rsidR="00802EFD" w:rsidRPr="00802EFD">
        <w:t>which it subsequently lease</w:t>
      </w:r>
      <w:r w:rsidR="009F66F4">
        <w:rPr>
          <w:lang w:val="en-GB"/>
        </w:rPr>
        <w:t>d</w:t>
      </w:r>
      <w:r w:rsidR="00802EFD" w:rsidRPr="00802EFD">
        <w:t xml:space="preserve"> back to the Council for homeless </w:t>
      </w:r>
      <w:r w:rsidR="007C1D05" w:rsidRPr="00802EFD">
        <w:t>families</w:t>
      </w:r>
      <w:r w:rsidR="00802EFD" w:rsidRPr="00802EFD">
        <w:t>.</w:t>
      </w:r>
      <w:r w:rsidR="003F790E" w:rsidRPr="00802EFD">
        <w:t xml:space="preserve"> </w:t>
      </w:r>
    </w:p>
    <w:p w14:paraId="1381E0A3" w14:textId="77777777" w:rsidR="003F790E" w:rsidRPr="00802EFD" w:rsidRDefault="003F790E" w:rsidP="003F790E">
      <w:pPr>
        <w:pStyle w:val="Default"/>
        <w:ind w:left="567" w:right="386"/>
        <w:jc w:val="both"/>
      </w:pPr>
    </w:p>
    <w:p w14:paraId="789376A6" w14:textId="77777777" w:rsidR="009E1C3C" w:rsidRDefault="00390239" w:rsidP="003F790E">
      <w:pPr>
        <w:pStyle w:val="Default"/>
        <w:ind w:left="567" w:right="386" w:hanging="567"/>
        <w:jc w:val="both"/>
      </w:pPr>
      <w:r>
        <w:t>76</w:t>
      </w:r>
      <w:r w:rsidR="003F790E" w:rsidRPr="00802EFD">
        <w:tab/>
        <w:t>The Council lend</w:t>
      </w:r>
      <w:r w:rsidR="00802EFD" w:rsidRPr="00802EFD">
        <w:t>s</w:t>
      </w:r>
      <w:r w:rsidR="003F790E" w:rsidRPr="00802EFD">
        <w:t xml:space="preserve"> money to the Housing Company at state aid compliant rates of interest using its prudential borrowing powers with the company repaying the </w:t>
      </w:r>
      <w:r w:rsidR="00726F7C">
        <w:rPr>
          <w:lang w:val="en-GB"/>
        </w:rPr>
        <w:t>Council</w:t>
      </w:r>
      <w:r w:rsidR="003F790E" w:rsidRPr="00802EFD">
        <w:t xml:space="preserve"> either based on an annuity or overdraft method. </w:t>
      </w:r>
      <w:r w:rsidR="00802EFD" w:rsidRPr="00802EFD">
        <w:t>Loans already approved to the Housing Company and included in the Council</w:t>
      </w:r>
      <w:r w:rsidR="00726F7C">
        <w:rPr>
          <w:lang w:val="en-GB"/>
        </w:rPr>
        <w:t>’s</w:t>
      </w:r>
      <w:r w:rsidR="00802EFD" w:rsidRPr="00802EFD">
        <w:t xml:space="preserve"> </w:t>
      </w:r>
      <w:r w:rsidR="00726F7C">
        <w:rPr>
          <w:lang w:val="en-GB"/>
        </w:rPr>
        <w:t>Capital</w:t>
      </w:r>
      <w:r w:rsidR="00802EFD" w:rsidRPr="00802EFD">
        <w:t xml:space="preserve"> </w:t>
      </w:r>
      <w:proofErr w:type="gramStart"/>
      <w:r w:rsidR="00726F7C">
        <w:rPr>
          <w:lang w:val="en-GB"/>
        </w:rPr>
        <w:t xml:space="preserve">Programme </w:t>
      </w:r>
      <w:r w:rsidR="00726F7C" w:rsidRPr="00802EFD">
        <w:t xml:space="preserve"> </w:t>
      </w:r>
      <w:r w:rsidR="001810E8" w:rsidRPr="00802EFD">
        <w:rPr>
          <w:lang w:val="en-GB"/>
        </w:rPr>
        <w:t>are</w:t>
      </w:r>
      <w:proofErr w:type="gramEnd"/>
      <w:r w:rsidR="001810E8" w:rsidRPr="00802EFD">
        <w:rPr>
          <w:lang w:val="en-GB"/>
        </w:rPr>
        <w:t xml:space="preserve"> </w:t>
      </w:r>
      <w:r w:rsidR="00C2274E" w:rsidRPr="00802EFD">
        <w:rPr>
          <w:lang w:val="en-GB"/>
        </w:rPr>
        <w:t xml:space="preserve">as </w:t>
      </w:r>
      <w:r w:rsidR="007C1D05" w:rsidRPr="00802EFD">
        <w:rPr>
          <w:lang w:val="en-GB"/>
        </w:rPr>
        <w:t>follows</w:t>
      </w:r>
      <w:r w:rsidR="007C1D05" w:rsidRPr="00802EFD">
        <w:t>:</w:t>
      </w:r>
    </w:p>
    <w:p w14:paraId="1CA06444" w14:textId="77777777" w:rsidR="002D462C" w:rsidRDefault="002D462C" w:rsidP="003F790E">
      <w:pPr>
        <w:pStyle w:val="Default"/>
        <w:ind w:left="567" w:right="386" w:hanging="567"/>
        <w:jc w:val="both"/>
      </w:pPr>
    </w:p>
    <w:p w14:paraId="4C3BA94D" w14:textId="77777777" w:rsidR="00296B63" w:rsidRDefault="00296B63" w:rsidP="003F790E">
      <w:pPr>
        <w:pStyle w:val="Default"/>
        <w:ind w:left="567" w:right="386" w:hanging="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396"/>
        <w:gridCol w:w="1444"/>
        <w:gridCol w:w="1415"/>
        <w:gridCol w:w="1431"/>
      </w:tblGrid>
      <w:tr w:rsidR="00E857FF" w:rsidRPr="00580904" w14:paraId="118A0BE4" w14:textId="77777777" w:rsidTr="00A44D3E">
        <w:tc>
          <w:tcPr>
            <w:tcW w:w="9395" w:type="dxa"/>
            <w:gridSpan w:val="5"/>
            <w:shd w:val="clear" w:color="auto" w:fill="auto"/>
          </w:tcPr>
          <w:p w14:paraId="27DAD780" w14:textId="77777777" w:rsidR="00E857FF" w:rsidRPr="00580904" w:rsidRDefault="00E857FF" w:rsidP="008E66A7">
            <w:pPr>
              <w:pStyle w:val="Default"/>
              <w:ind w:right="123"/>
              <w:rPr>
                <w:b/>
              </w:rPr>
            </w:pPr>
            <w:r w:rsidRPr="00580904">
              <w:rPr>
                <w:b/>
              </w:rPr>
              <w:t>Table 1</w:t>
            </w:r>
            <w:r w:rsidR="008E66A7">
              <w:rPr>
                <w:b/>
              </w:rPr>
              <w:t>0</w:t>
            </w:r>
            <w:r w:rsidRPr="00580904">
              <w:rPr>
                <w:b/>
              </w:rPr>
              <w:t xml:space="preserve"> : </w:t>
            </w:r>
            <w:r>
              <w:rPr>
                <w:b/>
              </w:rPr>
              <w:t>Loans to Housing Company</w:t>
            </w:r>
          </w:p>
        </w:tc>
      </w:tr>
      <w:tr w:rsidR="00E857FF" w:rsidRPr="00580904" w14:paraId="52DB3B65" w14:textId="77777777" w:rsidTr="00A44D3E">
        <w:tc>
          <w:tcPr>
            <w:tcW w:w="3458" w:type="dxa"/>
            <w:shd w:val="clear" w:color="auto" w:fill="auto"/>
          </w:tcPr>
          <w:p w14:paraId="77F6DAC1" w14:textId="77777777" w:rsidR="00E857FF" w:rsidRPr="00580904" w:rsidRDefault="00E857FF" w:rsidP="00A44D3E">
            <w:pPr>
              <w:pStyle w:val="Default"/>
              <w:ind w:right="386"/>
              <w:jc w:val="both"/>
            </w:pPr>
          </w:p>
        </w:tc>
        <w:tc>
          <w:tcPr>
            <w:tcW w:w="1470" w:type="dxa"/>
            <w:shd w:val="clear" w:color="auto" w:fill="BFBFBF"/>
          </w:tcPr>
          <w:p w14:paraId="54330F67" w14:textId="77777777" w:rsidR="00E857FF" w:rsidRPr="00580904" w:rsidRDefault="00E857FF" w:rsidP="00DE29ED">
            <w:pPr>
              <w:pStyle w:val="Default"/>
              <w:ind w:right="34"/>
              <w:jc w:val="center"/>
              <w:rPr>
                <w:b/>
              </w:rPr>
            </w:pPr>
            <w:r w:rsidRPr="00580904">
              <w:rPr>
                <w:b/>
              </w:rPr>
              <w:t>201</w:t>
            </w:r>
            <w:r w:rsidR="00DE29ED">
              <w:rPr>
                <w:b/>
              </w:rPr>
              <w:t>7</w:t>
            </w:r>
            <w:r w:rsidRPr="00580904">
              <w:rPr>
                <w:b/>
              </w:rPr>
              <w:t>/1</w:t>
            </w:r>
            <w:r w:rsidR="00DE29ED">
              <w:rPr>
                <w:b/>
              </w:rPr>
              <w:t>8</w:t>
            </w:r>
          </w:p>
        </w:tc>
        <w:tc>
          <w:tcPr>
            <w:tcW w:w="1507" w:type="dxa"/>
            <w:shd w:val="clear" w:color="auto" w:fill="BFBFBF"/>
          </w:tcPr>
          <w:p w14:paraId="45E2D4D5" w14:textId="77777777" w:rsidR="00E857FF" w:rsidRPr="00580904" w:rsidRDefault="00E857FF" w:rsidP="00DE29ED">
            <w:pPr>
              <w:pStyle w:val="Default"/>
              <w:ind w:right="123"/>
              <w:jc w:val="center"/>
              <w:rPr>
                <w:b/>
              </w:rPr>
            </w:pPr>
            <w:r w:rsidRPr="00580904">
              <w:rPr>
                <w:b/>
              </w:rPr>
              <w:t>201</w:t>
            </w:r>
            <w:r w:rsidR="00DE29ED">
              <w:rPr>
                <w:b/>
              </w:rPr>
              <w:t>8</w:t>
            </w:r>
            <w:r w:rsidRPr="00580904">
              <w:rPr>
                <w:b/>
              </w:rPr>
              <w:t>/</w:t>
            </w:r>
            <w:r w:rsidR="00DE29ED">
              <w:rPr>
                <w:b/>
              </w:rPr>
              <w:t>19</w:t>
            </w:r>
          </w:p>
        </w:tc>
        <w:tc>
          <w:tcPr>
            <w:tcW w:w="1470" w:type="dxa"/>
            <w:shd w:val="clear" w:color="auto" w:fill="BFBFBF"/>
          </w:tcPr>
          <w:p w14:paraId="2A0BD73B" w14:textId="77777777" w:rsidR="00E857FF" w:rsidRPr="00580904" w:rsidRDefault="00E857FF" w:rsidP="00DE29ED">
            <w:pPr>
              <w:pStyle w:val="Default"/>
              <w:ind w:right="123"/>
              <w:jc w:val="center"/>
              <w:rPr>
                <w:b/>
              </w:rPr>
            </w:pPr>
            <w:r w:rsidRPr="00580904">
              <w:rPr>
                <w:b/>
              </w:rPr>
              <w:t>20</w:t>
            </w:r>
            <w:r w:rsidR="00DE29ED">
              <w:rPr>
                <w:b/>
              </w:rPr>
              <w:t>19</w:t>
            </w:r>
            <w:r w:rsidRPr="00580904">
              <w:rPr>
                <w:b/>
              </w:rPr>
              <w:t>/2</w:t>
            </w:r>
            <w:r w:rsidR="00DE29ED">
              <w:rPr>
                <w:b/>
              </w:rPr>
              <w:t>0</w:t>
            </w:r>
          </w:p>
        </w:tc>
        <w:tc>
          <w:tcPr>
            <w:tcW w:w="1490" w:type="dxa"/>
            <w:shd w:val="clear" w:color="auto" w:fill="BFBFBF"/>
          </w:tcPr>
          <w:p w14:paraId="234CC2D5" w14:textId="77777777" w:rsidR="00E857FF" w:rsidRPr="00580904" w:rsidRDefault="00E857FF" w:rsidP="00DE29ED">
            <w:pPr>
              <w:pStyle w:val="Default"/>
              <w:ind w:right="123"/>
              <w:jc w:val="center"/>
              <w:rPr>
                <w:b/>
              </w:rPr>
            </w:pPr>
            <w:r w:rsidRPr="00580904">
              <w:rPr>
                <w:b/>
              </w:rPr>
              <w:t>202</w:t>
            </w:r>
            <w:r w:rsidR="00DE29ED">
              <w:rPr>
                <w:b/>
              </w:rPr>
              <w:t>0</w:t>
            </w:r>
            <w:r w:rsidRPr="00580904">
              <w:rPr>
                <w:b/>
              </w:rPr>
              <w:t>/2</w:t>
            </w:r>
            <w:r w:rsidR="00DE29ED">
              <w:rPr>
                <w:b/>
              </w:rPr>
              <w:t>1</w:t>
            </w:r>
          </w:p>
        </w:tc>
      </w:tr>
      <w:tr w:rsidR="00E857FF" w:rsidRPr="00580904" w14:paraId="598F6CE9" w14:textId="77777777" w:rsidTr="00A44D3E">
        <w:tc>
          <w:tcPr>
            <w:tcW w:w="3458" w:type="dxa"/>
            <w:shd w:val="clear" w:color="auto" w:fill="auto"/>
          </w:tcPr>
          <w:p w14:paraId="3F827F9D" w14:textId="77777777" w:rsidR="00E857FF" w:rsidRPr="00580904" w:rsidRDefault="00E857FF" w:rsidP="00A44D3E">
            <w:pPr>
              <w:pStyle w:val="Default"/>
              <w:ind w:right="386"/>
              <w:jc w:val="both"/>
            </w:pPr>
          </w:p>
        </w:tc>
        <w:tc>
          <w:tcPr>
            <w:tcW w:w="1470" w:type="dxa"/>
            <w:shd w:val="clear" w:color="auto" w:fill="BFBFBF"/>
          </w:tcPr>
          <w:p w14:paraId="0C666F6C" w14:textId="77777777" w:rsidR="00E857FF" w:rsidRPr="00580904" w:rsidRDefault="00E857FF" w:rsidP="00A44D3E">
            <w:pPr>
              <w:pStyle w:val="Default"/>
              <w:ind w:right="34"/>
              <w:jc w:val="center"/>
              <w:rPr>
                <w:b/>
              </w:rPr>
            </w:pPr>
            <w:r w:rsidRPr="00580904">
              <w:rPr>
                <w:b/>
              </w:rPr>
              <w:t>£000’s</w:t>
            </w:r>
          </w:p>
        </w:tc>
        <w:tc>
          <w:tcPr>
            <w:tcW w:w="1507" w:type="dxa"/>
            <w:shd w:val="clear" w:color="auto" w:fill="BFBFBF"/>
          </w:tcPr>
          <w:p w14:paraId="50CD3D5A" w14:textId="77777777" w:rsidR="00E857FF" w:rsidRPr="00580904" w:rsidRDefault="00E857FF" w:rsidP="00A44D3E">
            <w:pPr>
              <w:pStyle w:val="Default"/>
              <w:ind w:right="123"/>
              <w:jc w:val="center"/>
              <w:rPr>
                <w:b/>
              </w:rPr>
            </w:pPr>
            <w:r w:rsidRPr="00580904">
              <w:rPr>
                <w:b/>
              </w:rPr>
              <w:t>£000’s</w:t>
            </w:r>
          </w:p>
        </w:tc>
        <w:tc>
          <w:tcPr>
            <w:tcW w:w="1470" w:type="dxa"/>
            <w:shd w:val="clear" w:color="auto" w:fill="BFBFBF"/>
          </w:tcPr>
          <w:p w14:paraId="6CB78B98" w14:textId="77777777" w:rsidR="00E857FF" w:rsidRPr="00580904" w:rsidRDefault="00E857FF" w:rsidP="00A44D3E">
            <w:pPr>
              <w:pStyle w:val="Default"/>
              <w:ind w:right="123"/>
              <w:jc w:val="center"/>
              <w:rPr>
                <w:b/>
              </w:rPr>
            </w:pPr>
            <w:r w:rsidRPr="00580904">
              <w:rPr>
                <w:b/>
              </w:rPr>
              <w:t>£000’s</w:t>
            </w:r>
          </w:p>
        </w:tc>
        <w:tc>
          <w:tcPr>
            <w:tcW w:w="1490" w:type="dxa"/>
            <w:shd w:val="clear" w:color="auto" w:fill="BFBFBF"/>
          </w:tcPr>
          <w:p w14:paraId="5873479E" w14:textId="77777777" w:rsidR="00E857FF" w:rsidRPr="00580904" w:rsidRDefault="00E857FF" w:rsidP="00A44D3E">
            <w:pPr>
              <w:pStyle w:val="Default"/>
              <w:ind w:right="123"/>
              <w:jc w:val="center"/>
              <w:rPr>
                <w:b/>
              </w:rPr>
            </w:pPr>
            <w:r w:rsidRPr="00580904">
              <w:rPr>
                <w:b/>
              </w:rPr>
              <w:t>£000’s</w:t>
            </w:r>
          </w:p>
        </w:tc>
      </w:tr>
      <w:tr w:rsidR="00DE29ED" w:rsidRPr="00580904" w14:paraId="5F7C2764" w14:textId="77777777" w:rsidTr="00A44D3E">
        <w:tc>
          <w:tcPr>
            <w:tcW w:w="3458" w:type="dxa"/>
            <w:shd w:val="clear" w:color="auto" w:fill="auto"/>
          </w:tcPr>
          <w:p w14:paraId="6E5211CA" w14:textId="77777777" w:rsidR="00DE29ED" w:rsidRPr="00580904" w:rsidRDefault="00DE29ED" w:rsidP="00A44D3E">
            <w:pPr>
              <w:pStyle w:val="Default"/>
              <w:ind w:right="386"/>
              <w:jc w:val="both"/>
            </w:pPr>
            <w:r>
              <w:t>Loan Amount</w:t>
            </w:r>
          </w:p>
        </w:tc>
        <w:tc>
          <w:tcPr>
            <w:tcW w:w="1470" w:type="dxa"/>
            <w:shd w:val="clear" w:color="auto" w:fill="auto"/>
          </w:tcPr>
          <w:p w14:paraId="5D8168D8" w14:textId="77777777" w:rsidR="00DE29ED" w:rsidRPr="00580904" w:rsidRDefault="00DE29ED" w:rsidP="00D728FF">
            <w:pPr>
              <w:pStyle w:val="Default"/>
              <w:jc w:val="right"/>
            </w:pPr>
            <w:r>
              <w:t>3,000</w:t>
            </w:r>
          </w:p>
        </w:tc>
        <w:tc>
          <w:tcPr>
            <w:tcW w:w="1507" w:type="dxa"/>
            <w:shd w:val="clear" w:color="auto" w:fill="auto"/>
          </w:tcPr>
          <w:p w14:paraId="48A0070D" w14:textId="77777777" w:rsidR="00DE29ED" w:rsidRPr="00580904" w:rsidRDefault="00DE29ED" w:rsidP="00E857FF">
            <w:pPr>
              <w:pStyle w:val="Default"/>
              <w:jc w:val="right"/>
            </w:pPr>
            <w:r>
              <w:t>29,000</w:t>
            </w:r>
          </w:p>
        </w:tc>
        <w:tc>
          <w:tcPr>
            <w:tcW w:w="1470" w:type="dxa"/>
            <w:shd w:val="clear" w:color="auto" w:fill="auto"/>
          </w:tcPr>
          <w:p w14:paraId="3E3B5CBB" w14:textId="77777777" w:rsidR="00DE29ED" w:rsidRPr="00580904" w:rsidRDefault="00DE29ED" w:rsidP="00E857FF">
            <w:pPr>
              <w:pStyle w:val="Default"/>
              <w:ind w:right="34"/>
              <w:jc w:val="right"/>
            </w:pPr>
            <w:r>
              <w:t>17,000</w:t>
            </w:r>
          </w:p>
        </w:tc>
        <w:tc>
          <w:tcPr>
            <w:tcW w:w="1490" w:type="dxa"/>
            <w:shd w:val="clear" w:color="auto" w:fill="auto"/>
          </w:tcPr>
          <w:p w14:paraId="06615811" w14:textId="77777777" w:rsidR="00DE29ED" w:rsidRPr="00580904" w:rsidRDefault="00DE29ED" w:rsidP="00E857FF">
            <w:pPr>
              <w:pStyle w:val="Default"/>
              <w:jc w:val="right"/>
            </w:pPr>
            <w:r>
              <w:t>12,000</w:t>
            </w:r>
          </w:p>
        </w:tc>
      </w:tr>
    </w:tbl>
    <w:p w14:paraId="39000F67" w14:textId="77777777" w:rsidR="00E857FF" w:rsidRPr="00802EFD" w:rsidRDefault="00E857FF" w:rsidP="003F790E">
      <w:pPr>
        <w:pStyle w:val="Default"/>
        <w:ind w:left="567" w:right="386" w:hanging="567"/>
        <w:jc w:val="both"/>
      </w:pPr>
    </w:p>
    <w:p w14:paraId="525BC7B8" w14:textId="77777777" w:rsidR="003F790E" w:rsidRPr="005C1C45" w:rsidRDefault="00D728FF" w:rsidP="003F790E">
      <w:pPr>
        <w:pStyle w:val="Default"/>
        <w:ind w:left="567" w:right="386" w:hanging="567"/>
        <w:jc w:val="both"/>
      </w:pPr>
      <w:r>
        <w:t>7</w:t>
      </w:r>
      <w:r w:rsidR="00390239">
        <w:t>7</w:t>
      </w:r>
      <w:r>
        <w:tab/>
      </w:r>
      <w:r w:rsidR="00DE29ED">
        <w:t>On 20</w:t>
      </w:r>
      <w:r w:rsidR="00DE29ED" w:rsidRPr="00DE29ED">
        <w:rPr>
          <w:vertAlign w:val="superscript"/>
        </w:rPr>
        <w:t>th</w:t>
      </w:r>
      <w:r w:rsidR="00DE29ED">
        <w:t xml:space="preserve"> February 2016 Council agreed a loan facility o</w:t>
      </w:r>
      <w:r w:rsidR="003F790E" w:rsidRPr="00802EFD">
        <w:t xml:space="preserve">ver the next </w:t>
      </w:r>
      <w:r w:rsidR="00412253" w:rsidRPr="00802EFD">
        <w:t>4</w:t>
      </w:r>
      <w:r w:rsidR="003F790E" w:rsidRPr="00802EFD">
        <w:t xml:space="preserve"> years loans of £</w:t>
      </w:r>
      <w:r w:rsidR="00DE29ED">
        <w:t>61</w:t>
      </w:r>
      <w:r>
        <w:t xml:space="preserve"> </w:t>
      </w:r>
      <w:r w:rsidR="003F790E" w:rsidRPr="00802EFD">
        <w:t>million facilitating the construction and acquisition of approximately 5</w:t>
      </w:r>
      <w:r w:rsidR="00DE29ED">
        <w:t>0</w:t>
      </w:r>
      <w:r w:rsidR="003F790E" w:rsidRPr="00802EFD">
        <w:t xml:space="preserve">0 new dwellings. </w:t>
      </w:r>
      <w:r w:rsidR="003F790E" w:rsidRPr="005C1C45">
        <w:t xml:space="preserve"> </w:t>
      </w:r>
    </w:p>
    <w:p w14:paraId="2609CDDD" w14:textId="77777777" w:rsidR="003F790E" w:rsidRPr="005C1C45" w:rsidRDefault="003F790E" w:rsidP="003F790E">
      <w:pPr>
        <w:pStyle w:val="Default"/>
        <w:ind w:left="567" w:right="386" w:hanging="567"/>
        <w:jc w:val="both"/>
      </w:pPr>
    </w:p>
    <w:p w14:paraId="612B5FF7" w14:textId="77777777" w:rsidR="003F790E" w:rsidRPr="008D6AFC" w:rsidRDefault="003F790E" w:rsidP="008D6AFC">
      <w:pPr>
        <w:spacing w:before="240" w:after="120"/>
        <w:outlineLvl w:val="0"/>
        <w:rPr>
          <w:b/>
          <w:color w:val="000000"/>
          <w:lang w:eastAsia="en-GB"/>
        </w:rPr>
      </w:pPr>
      <w:r w:rsidRPr="008D6AFC">
        <w:rPr>
          <w:b/>
          <w:color w:val="000000"/>
          <w:lang w:eastAsia="en-GB"/>
        </w:rPr>
        <w:t>OXWED</w:t>
      </w:r>
    </w:p>
    <w:p w14:paraId="580D67E9" w14:textId="77777777" w:rsidR="003F790E" w:rsidRPr="005C1C45" w:rsidRDefault="00D728FF" w:rsidP="002B7914">
      <w:pPr>
        <w:pStyle w:val="Default"/>
        <w:ind w:left="567" w:right="386" w:hanging="567"/>
        <w:jc w:val="both"/>
      </w:pPr>
      <w:r>
        <w:t>7</w:t>
      </w:r>
      <w:r w:rsidR="00390239">
        <w:t>8</w:t>
      </w:r>
      <w:r w:rsidR="003F790E" w:rsidRPr="005C1C45">
        <w:tab/>
        <w:t xml:space="preserve">The Council has a 50/50 partnership with Nuffield </w:t>
      </w:r>
      <w:r w:rsidR="00A83443" w:rsidRPr="005C1C45">
        <w:t>College</w:t>
      </w:r>
      <w:r w:rsidR="003F790E" w:rsidRPr="005C1C45">
        <w:t xml:space="preserve"> to unde</w:t>
      </w:r>
      <w:r w:rsidR="006D6BBB">
        <w:t>rtake the</w:t>
      </w:r>
      <w:r w:rsidR="006D6BBB" w:rsidRPr="005C1C45">
        <w:t xml:space="preserve"> development</w:t>
      </w:r>
      <w:r w:rsidR="003F790E" w:rsidRPr="005C1C45">
        <w:t xml:space="preserve"> of the land at </w:t>
      </w:r>
      <w:proofErr w:type="spellStart"/>
      <w:r w:rsidR="003F790E" w:rsidRPr="005C1C45">
        <w:t>Ox</w:t>
      </w:r>
      <w:r w:rsidR="00A83443" w:rsidRPr="005C1C45">
        <w:t>pens</w:t>
      </w:r>
      <w:proofErr w:type="spellEnd"/>
      <w:r w:rsidR="003F790E" w:rsidRPr="005C1C45">
        <w:t xml:space="preserve">. The Council has already approved loans totaling £4.1 million as </w:t>
      </w:r>
      <w:r w:rsidR="00412253" w:rsidRPr="005C1C45">
        <w:t>its</w:t>
      </w:r>
      <w:r w:rsidR="003F790E" w:rsidRPr="005C1C45">
        <w:t xml:space="preserve"> 50% share of the cost of purchasing </w:t>
      </w:r>
      <w:r w:rsidR="00412253" w:rsidRPr="005C1C45">
        <w:t xml:space="preserve">additional </w:t>
      </w:r>
      <w:r w:rsidR="003F790E" w:rsidRPr="005C1C45">
        <w:t>land in December 2017</w:t>
      </w:r>
      <w:r w:rsidR="005C1C45" w:rsidRPr="005C1C45">
        <w:t xml:space="preserve"> for which the Council is due to receive £8million</w:t>
      </w:r>
      <w:r w:rsidR="00412253" w:rsidRPr="005C1C45">
        <w:t>. In addition</w:t>
      </w:r>
      <w:r w:rsidR="00F7549B" w:rsidRPr="005C1C45">
        <w:rPr>
          <w:lang w:val="en-GB"/>
        </w:rPr>
        <w:t xml:space="preserve">, </w:t>
      </w:r>
      <w:r w:rsidR="00EA5D28" w:rsidRPr="005C1C45">
        <w:t xml:space="preserve">loans </w:t>
      </w:r>
      <w:r w:rsidR="00412253" w:rsidRPr="005C1C45">
        <w:t xml:space="preserve">have also been approved </w:t>
      </w:r>
      <w:r w:rsidR="00EA5D28" w:rsidRPr="005C1C45">
        <w:t xml:space="preserve">to fund </w:t>
      </w:r>
      <w:r w:rsidR="003F790E" w:rsidRPr="005C1C45">
        <w:t>working capital of £1</w:t>
      </w:r>
      <w:r w:rsidR="00803860" w:rsidRPr="005C1C45">
        <w:t>5</w:t>
      </w:r>
      <w:r w:rsidR="003F790E" w:rsidRPr="005C1C45">
        <w:t xml:space="preserve">0k </w:t>
      </w:r>
      <w:r w:rsidR="00D07F73" w:rsidRPr="005C1C45">
        <w:t xml:space="preserve">up to March </w:t>
      </w:r>
      <w:r w:rsidR="00BC163D" w:rsidRPr="005C1C45">
        <w:t xml:space="preserve">2018. Nuffield </w:t>
      </w:r>
      <w:r w:rsidR="00A83443" w:rsidRPr="005C1C45">
        <w:t>College</w:t>
      </w:r>
      <w:r w:rsidR="00BC163D" w:rsidRPr="005C1C45">
        <w:t xml:space="preserve"> </w:t>
      </w:r>
      <w:r w:rsidR="007C1D05">
        <w:t>has</w:t>
      </w:r>
      <w:r w:rsidR="00E857FF">
        <w:t xml:space="preserve"> </w:t>
      </w:r>
      <w:r w:rsidR="00BC163D" w:rsidRPr="005C1C45">
        <w:t>match</w:t>
      </w:r>
      <w:r w:rsidR="00E857FF">
        <w:t>ed</w:t>
      </w:r>
      <w:r w:rsidR="00BC163D" w:rsidRPr="005C1C45">
        <w:t xml:space="preserve"> th</w:t>
      </w:r>
      <w:r w:rsidR="00E857FF">
        <w:t>ese</w:t>
      </w:r>
      <w:r w:rsidR="00BC163D" w:rsidRPr="005C1C45">
        <w:t xml:space="preserve"> amount</w:t>
      </w:r>
      <w:r w:rsidR="00E857FF">
        <w:t>s</w:t>
      </w:r>
      <w:r w:rsidR="00412253" w:rsidRPr="005C1C45">
        <w:t>.</w:t>
      </w:r>
      <w:r w:rsidR="00BC163D" w:rsidRPr="005C1C45">
        <w:t xml:space="preserve"> </w:t>
      </w:r>
    </w:p>
    <w:p w14:paraId="1558460A" w14:textId="77777777" w:rsidR="003F790E" w:rsidRPr="008D6AFC" w:rsidRDefault="003F790E" w:rsidP="008D6AFC">
      <w:pPr>
        <w:spacing w:before="240" w:after="120"/>
        <w:outlineLvl w:val="0"/>
        <w:rPr>
          <w:b/>
          <w:color w:val="000000"/>
          <w:lang w:eastAsia="en-GB"/>
        </w:rPr>
      </w:pPr>
    </w:p>
    <w:p w14:paraId="356EE253" w14:textId="39B2C52D" w:rsidR="00153780" w:rsidRPr="008D6AFC" w:rsidRDefault="00852272" w:rsidP="008D6AFC">
      <w:pPr>
        <w:spacing w:before="240" w:after="120"/>
        <w:outlineLvl w:val="0"/>
        <w:rPr>
          <w:b/>
          <w:color w:val="000000"/>
          <w:lang w:eastAsia="en-GB"/>
        </w:rPr>
      </w:pPr>
      <w:r w:rsidRPr="008D6AFC">
        <w:rPr>
          <w:b/>
          <w:color w:val="000000"/>
          <w:lang w:eastAsia="en-GB"/>
        </w:rPr>
        <w:t>Housing Revenue Account Capital Programme</w:t>
      </w:r>
    </w:p>
    <w:p w14:paraId="79ED5634" w14:textId="77777777" w:rsidR="00614D4F" w:rsidRPr="00DC2493" w:rsidRDefault="00D728FF" w:rsidP="002B7914">
      <w:pPr>
        <w:pStyle w:val="Default"/>
        <w:ind w:left="567" w:right="386" w:hanging="567"/>
        <w:jc w:val="both"/>
        <w:rPr>
          <w:color w:val="auto"/>
        </w:rPr>
      </w:pPr>
      <w:r>
        <w:rPr>
          <w:color w:val="auto"/>
        </w:rPr>
        <w:t>7</w:t>
      </w:r>
      <w:r w:rsidR="00390239">
        <w:rPr>
          <w:color w:val="auto"/>
        </w:rPr>
        <w:t>9</w:t>
      </w:r>
      <w:r w:rsidR="00F34E29" w:rsidRPr="00DC2493">
        <w:rPr>
          <w:color w:val="auto"/>
        </w:rPr>
        <w:tab/>
      </w:r>
      <w:r w:rsidR="00852272" w:rsidRPr="00DC2493">
        <w:rPr>
          <w:color w:val="auto"/>
        </w:rPr>
        <w:t xml:space="preserve">The draft </w:t>
      </w:r>
      <w:proofErr w:type="spellStart"/>
      <w:r w:rsidR="00852272" w:rsidRPr="00DC2493">
        <w:rPr>
          <w:color w:val="auto"/>
        </w:rPr>
        <w:t>HRA</w:t>
      </w:r>
      <w:proofErr w:type="spellEnd"/>
      <w:r w:rsidR="00852272" w:rsidRPr="00DC2493">
        <w:rPr>
          <w:color w:val="auto"/>
        </w:rPr>
        <w:t xml:space="preserve"> Capital </w:t>
      </w:r>
      <w:proofErr w:type="spellStart"/>
      <w:r w:rsidR="00852272" w:rsidRPr="00DC2493">
        <w:rPr>
          <w:color w:val="auto"/>
        </w:rPr>
        <w:t>Programme</w:t>
      </w:r>
      <w:proofErr w:type="spellEnd"/>
      <w:r w:rsidR="00852272" w:rsidRPr="00DC2493">
        <w:rPr>
          <w:color w:val="auto"/>
        </w:rPr>
        <w:t xml:space="preserve"> </w:t>
      </w:r>
      <w:r w:rsidR="00AA5E8E" w:rsidRPr="00DC2493">
        <w:rPr>
          <w:color w:val="auto"/>
        </w:rPr>
        <w:t xml:space="preserve">is </w:t>
      </w:r>
      <w:r w:rsidR="001C6317" w:rsidRPr="00DC2493">
        <w:rPr>
          <w:color w:val="auto"/>
        </w:rPr>
        <w:t>intrinsically</w:t>
      </w:r>
      <w:r w:rsidR="00AA5E8E" w:rsidRPr="00DC2493">
        <w:rPr>
          <w:color w:val="auto"/>
        </w:rPr>
        <w:t xml:space="preserve"> linked to the </w:t>
      </w:r>
      <w:r w:rsidR="000F525A" w:rsidRPr="00DC2493">
        <w:rPr>
          <w:color w:val="auto"/>
        </w:rPr>
        <w:t>HRA</w:t>
      </w:r>
      <w:r w:rsidR="00AA5E8E" w:rsidRPr="00DC2493">
        <w:rPr>
          <w:color w:val="auto"/>
        </w:rPr>
        <w:t xml:space="preserve"> </w:t>
      </w:r>
      <w:r w:rsidR="00E34F9A" w:rsidRPr="00DC2493">
        <w:rPr>
          <w:color w:val="auto"/>
        </w:rPr>
        <w:t>B</w:t>
      </w:r>
      <w:r w:rsidR="00AA5E8E" w:rsidRPr="00DC2493">
        <w:rPr>
          <w:color w:val="auto"/>
        </w:rPr>
        <w:t xml:space="preserve">usiness </w:t>
      </w:r>
      <w:r w:rsidR="0048458E" w:rsidRPr="00DC2493">
        <w:rPr>
          <w:color w:val="auto"/>
        </w:rPr>
        <w:t>P</w:t>
      </w:r>
      <w:r w:rsidR="00AA5E8E" w:rsidRPr="00DC2493">
        <w:rPr>
          <w:color w:val="auto"/>
        </w:rPr>
        <w:t>lan</w:t>
      </w:r>
      <w:r w:rsidR="000F525A" w:rsidRPr="00DC2493">
        <w:rPr>
          <w:color w:val="auto"/>
        </w:rPr>
        <w:t xml:space="preserve"> since the resources to fund the </w:t>
      </w:r>
      <w:r w:rsidR="000A731F" w:rsidRPr="00DC2493">
        <w:rPr>
          <w:color w:val="auto"/>
          <w:lang w:val="en-GB"/>
        </w:rPr>
        <w:t xml:space="preserve">Programme </w:t>
      </w:r>
      <w:r w:rsidR="000F525A" w:rsidRPr="00DC2493">
        <w:rPr>
          <w:color w:val="auto"/>
        </w:rPr>
        <w:t xml:space="preserve">are largely generated through </w:t>
      </w:r>
      <w:r w:rsidR="00614D4F" w:rsidRPr="00DC2493">
        <w:rPr>
          <w:color w:val="auto"/>
        </w:rPr>
        <w:t>housing rents</w:t>
      </w:r>
      <w:r w:rsidR="00AA5E8E" w:rsidRPr="00DC2493">
        <w:rPr>
          <w:color w:val="auto"/>
        </w:rPr>
        <w:t>.</w:t>
      </w:r>
      <w:r w:rsidR="00614D4F" w:rsidRPr="00DC2493">
        <w:rPr>
          <w:color w:val="auto"/>
        </w:rPr>
        <w:t xml:space="preserve"> All Capital projects in the existing </w:t>
      </w:r>
      <w:proofErr w:type="spellStart"/>
      <w:r w:rsidR="00412253" w:rsidRPr="00DC2493">
        <w:rPr>
          <w:color w:val="auto"/>
        </w:rPr>
        <w:t>P</w:t>
      </w:r>
      <w:r w:rsidR="00614D4F" w:rsidRPr="00DC2493">
        <w:rPr>
          <w:color w:val="auto"/>
        </w:rPr>
        <w:t>rogramme</w:t>
      </w:r>
      <w:proofErr w:type="spellEnd"/>
      <w:r w:rsidR="00614D4F" w:rsidRPr="00DC2493">
        <w:rPr>
          <w:color w:val="auto"/>
        </w:rPr>
        <w:t xml:space="preserve"> have been considered and adjustments made accordingly. </w:t>
      </w:r>
      <w:r w:rsidR="00E857FF">
        <w:rPr>
          <w:color w:val="auto"/>
        </w:rPr>
        <w:t xml:space="preserve">Additional capital bids </w:t>
      </w:r>
      <w:proofErr w:type="gramStart"/>
      <w:r w:rsidR="00E857FF">
        <w:rPr>
          <w:color w:val="auto"/>
        </w:rPr>
        <w:t>include :</w:t>
      </w:r>
      <w:proofErr w:type="gramEnd"/>
    </w:p>
    <w:p w14:paraId="2110F0BE" w14:textId="77777777" w:rsidR="00614D4F" w:rsidRDefault="00614D4F" w:rsidP="00614D4F">
      <w:pPr>
        <w:pStyle w:val="Default"/>
        <w:ind w:left="567" w:right="386"/>
        <w:jc w:val="both"/>
        <w:rPr>
          <w:color w:val="auto"/>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379"/>
        <w:gridCol w:w="1429"/>
        <w:gridCol w:w="1402"/>
        <w:gridCol w:w="1417"/>
      </w:tblGrid>
      <w:tr w:rsidR="00E857FF" w:rsidRPr="00580904" w14:paraId="2174B9FF" w14:textId="77777777" w:rsidTr="00A44D3E">
        <w:tc>
          <w:tcPr>
            <w:tcW w:w="9395" w:type="dxa"/>
            <w:gridSpan w:val="5"/>
            <w:shd w:val="clear" w:color="auto" w:fill="auto"/>
          </w:tcPr>
          <w:p w14:paraId="21F07993" w14:textId="77777777" w:rsidR="00E857FF" w:rsidRPr="00580904" w:rsidRDefault="00E857FF" w:rsidP="00A44D3E">
            <w:pPr>
              <w:pStyle w:val="Default"/>
              <w:ind w:right="123"/>
              <w:rPr>
                <w:b/>
              </w:rPr>
            </w:pPr>
            <w:r w:rsidRPr="00580904">
              <w:rPr>
                <w:b/>
              </w:rPr>
              <w:t xml:space="preserve">Table 11 : </w:t>
            </w:r>
            <w:r>
              <w:rPr>
                <w:b/>
              </w:rPr>
              <w:t xml:space="preserve">HRA </w:t>
            </w:r>
            <w:r w:rsidRPr="00580904">
              <w:rPr>
                <w:b/>
              </w:rPr>
              <w:t xml:space="preserve">Variations to Capital Budget </w:t>
            </w:r>
          </w:p>
        </w:tc>
      </w:tr>
      <w:tr w:rsidR="00E857FF" w:rsidRPr="00580904" w14:paraId="52F55A12" w14:textId="77777777" w:rsidTr="00A44D3E">
        <w:tc>
          <w:tcPr>
            <w:tcW w:w="3458" w:type="dxa"/>
            <w:shd w:val="clear" w:color="auto" w:fill="auto"/>
          </w:tcPr>
          <w:p w14:paraId="16102AF4" w14:textId="77777777" w:rsidR="00E857FF" w:rsidRPr="00580904" w:rsidRDefault="00E857FF" w:rsidP="00A44D3E">
            <w:pPr>
              <w:pStyle w:val="Default"/>
              <w:ind w:right="386"/>
              <w:jc w:val="both"/>
            </w:pPr>
          </w:p>
        </w:tc>
        <w:tc>
          <w:tcPr>
            <w:tcW w:w="1470" w:type="dxa"/>
            <w:shd w:val="clear" w:color="auto" w:fill="BFBFBF"/>
          </w:tcPr>
          <w:p w14:paraId="054C98C7" w14:textId="77777777" w:rsidR="00E857FF" w:rsidRPr="00580904" w:rsidRDefault="00E857FF" w:rsidP="00A44D3E">
            <w:pPr>
              <w:pStyle w:val="Default"/>
              <w:ind w:right="34"/>
              <w:jc w:val="center"/>
              <w:rPr>
                <w:b/>
              </w:rPr>
            </w:pPr>
            <w:r w:rsidRPr="00580904">
              <w:rPr>
                <w:b/>
              </w:rPr>
              <w:t>2018/19</w:t>
            </w:r>
          </w:p>
        </w:tc>
        <w:tc>
          <w:tcPr>
            <w:tcW w:w="1507" w:type="dxa"/>
            <w:shd w:val="clear" w:color="auto" w:fill="BFBFBF"/>
          </w:tcPr>
          <w:p w14:paraId="668DBE5E" w14:textId="77777777" w:rsidR="00E857FF" w:rsidRPr="00580904" w:rsidRDefault="00E857FF" w:rsidP="00A44D3E">
            <w:pPr>
              <w:pStyle w:val="Default"/>
              <w:ind w:right="123"/>
              <w:jc w:val="center"/>
              <w:rPr>
                <w:b/>
              </w:rPr>
            </w:pPr>
            <w:r w:rsidRPr="00580904">
              <w:rPr>
                <w:b/>
              </w:rPr>
              <w:t>2019/20</w:t>
            </w:r>
          </w:p>
        </w:tc>
        <w:tc>
          <w:tcPr>
            <w:tcW w:w="1470" w:type="dxa"/>
            <w:shd w:val="clear" w:color="auto" w:fill="BFBFBF"/>
          </w:tcPr>
          <w:p w14:paraId="66CCFF34" w14:textId="77777777" w:rsidR="00E857FF" w:rsidRPr="00580904" w:rsidRDefault="00E857FF" w:rsidP="00A44D3E">
            <w:pPr>
              <w:pStyle w:val="Default"/>
              <w:ind w:right="123"/>
              <w:jc w:val="center"/>
              <w:rPr>
                <w:b/>
              </w:rPr>
            </w:pPr>
            <w:r w:rsidRPr="00580904">
              <w:rPr>
                <w:b/>
              </w:rPr>
              <w:t>2020/21</w:t>
            </w:r>
          </w:p>
        </w:tc>
        <w:tc>
          <w:tcPr>
            <w:tcW w:w="1490" w:type="dxa"/>
            <w:shd w:val="clear" w:color="auto" w:fill="BFBFBF"/>
          </w:tcPr>
          <w:p w14:paraId="61674CAC" w14:textId="77777777" w:rsidR="00E857FF" w:rsidRPr="00580904" w:rsidRDefault="00E857FF" w:rsidP="00A44D3E">
            <w:pPr>
              <w:pStyle w:val="Default"/>
              <w:ind w:right="123"/>
              <w:jc w:val="center"/>
              <w:rPr>
                <w:b/>
              </w:rPr>
            </w:pPr>
            <w:r w:rsidRPr="00580904">
              <w:rPr>
                <w:b/>
              </w:rPr>
              <w:t>2021/22</w:t>
            </w:r>
          </w:p>
        </w:tc>
      </w:tr>
      <w:tr w:rsidR="00E857FF" w:rsidRPr="00580904" w14:paraId="611659AB" w14:textId="77777777" w:rsidTr="00A44D3E">
        <w:tc>
          <w:tcPr>
            <w:tcW w:w="3458" w:type="dxa"/>
            <w:shd w:val="clear" w:color="auto" w:fill="auto"/>
          </w:tcPr>
          <w:p w14:paraId="298D3A7C" w14:textId="77777777" w:rsidR="00E857FF" w:rsidRPr="00580904" w:rsidRDefault="00E857FF" w:rsidP="00A44D3E">
            <w:pPr>
              <w:pStyle w:val="Default"/>
              <w:ind w:right="386"/>
              <w:jc w:val="both"/>
            </w:pPr>
          </w:p>
        </w:tc>
        <w:tc>
          <w:tcPr>
            <w:tcW w:w="1470" w:type="dxa"/>
            <w:shd w:val="clear" w:color="auto" w:fill="BFBFBF"/>
          </w:tcPr>
          <w:p w14:paraId="2A0967A3" w14:textId="77777777" w:rsidR="00E857FF" w:rsidRPr="00580904" w:rsidRDefault="00E857FF" w:rsidP="00A44D3E">
            <w:pPr>
              <w:pStyle w:val="Default"/>
              <w:ind w:right="34"/>
              <w:jc w:val="center"/>
              <w:rPr>
                <w:b/>
              </w:rPr>
            </w:pPr>
            <w:r w:rsidRPr="00580904">
              <w:rPr>
                <w:b/>
              </w:rPr>
              <w:t>£000’s</w:t>
            </w:r>
          </w:p>
        </w:tc>
        <w:tc>
          <w:tcPr>
            <w:tcW w:w="1507" w:type="dxa"/>
            <w:shd w:val="clear" w:color="auto" w:fill="BFBFBF"/>
          </w:tcPr>
          <w:p w14:paraId="45D9A1B8" w14:textId="77777777" w:rsidR="00E857FF" w:rsidRPr="00580904" w:rsidRDefault="00E857FF" w:rsidP="00A44D3E">
            <w:pPr>
              <w:pStyle w:val="Default"/>
              <w:ind w:right="123"/>
              <w:jc w:val="center"/>
              <w:rPr>
                <w:b/>
              </w:rPr>
            </w:pPr>
            <w:r w:rsidRPr="00580904">
              <w:rPr>
                <w:b/>
              </w:rPr>
              <w:t>£000’s</w:t>
            </w:r>
          </w:p>
        </w:tc>
        <w:tc>
          <w:tcPr>
            <w:tcW w:w="1470" w:type="dxa"/>
            <w:shd w:val="clear" w:color="auto" w:fill="BFBFBF"/>
          </w:tcPr>
          <w:p w14:paraId="491DF0F3" w14:textId="77777777" w:rsidR="00E857FF" w:rsidRPr="00580904" w:rsidRDefault="00E857FF" w:rsidP="00A44D3E">
            <w:pPr>
              <w:pStyle w:val="Default"/>
              <w:ind w:right="123"/>
              <w:jc w:val="center"/>
              <w:rPr>
                <w:b/>
              </w:rPr>
            </w:pPr>
            <w:r w:rsidRPr="00580904">
              <w:rPr>
                <w:b/>
              </w:rPr>
              <w:t>£000’s</w:t>
            </w:r>
          </w:p>
        </w:tc>
        <w:tc>
          <w:tcPr>
            <w:tcW w:w="1490" w:type="dxa"/>
            <w:shd w:val="clear" w:color="auto" w:fill="BFBFBF"/>
          </w:tcPr>
          <w:p w14:paraId="1CB183B4" w14:textId="77777777" w:rsidR="00E857FF" w:rsidRPr="00580904" w:rsidRDefault="00E857FF" w:rsidP="00A44D3E">
            <w:pPr>
              <w:pStyle w:val="Default"/>
              <w:ind w:right="123"/>
              <w:jc w:val="center"/>
              <w:rPr>
                <w:b/>
              </w:rPr>
            </w:pPr>
            <w:r w:rsidRPr="00580904">
              <w:rPr>
                <w:b/>
              </w:rPr>
              <w:t>£000’s</w:t>
            </w:r>
          </w:p>
        </w:tc>
      </w:tr>
      <w:tr w:rsidR="00E857FF" w:rsidRPr="00580904" w14:paraId="511075DF" w14:textId="77777777" w:rsidTr="00A44D3E">
        <w:tc>
          <w:tcPr>
            <w:tcW w:w="3458" w:type="dxa"/>
            <w:shd w:val="clear" w:color="auto" w:fill="auto"/>
          </w:tcPr>
          <w:p w14:paraId="317AE7B0" w14:textId="77777777" w:rsidR="00E857FF" w:rsidRPr="00580904" w:rsidRDefault="00E857FF" w:rsidP="00A44D3E">
            <w:pPr>
              <w:pStyle w:val="Default"/>
              <w:ind w:right="386"/>
              <w:jc w:val="both"/>
              <w:rPr>
                <w:b/>
              </w:rPr>
            </w:pPr>
            <w:r w:rsidRPr="00580904">
              <w:rPr>
                <w:b/>
              </w:rPr>
              <w:t>New Bids</w:t>
            </w:r>
          </w:p>
        </w:tc>
        <w:tc>
          <w:tcPr>
            <w:tcW w:w="1470" w:type="dxa"/>
            <w:shd w:val="clear" w:color="auto" w:fill="auto"/>
          </w:tcPr>
          <w:p w14:paraId="53171A5C" w14:textId="77777777" w:rsidR="00E857FF" w:rsidRPr="00580904" w:rsidRDefault="00E857FF" w:rsidP="00A44D3E">
            <w:pPr>
              <w:pStyle w:val="Default"/>
              <w:ind w:right="386"/>
              <w:jc w:val="right"/>
            </w:pPr>
          </w:p>
        </w:tc>
        <w:tc>
          <w:tcPr>
            <w:tcW w:w="1507" w:type="dxa"/>
            <w:shd w:val="clear" w:color="auto" w:fill="auto"/>
          </w:tcPr>
          <w:p w14:paraId="385B29F1" w14:textId="77777777" w:rsidR="00E857FF" w:rsidRPr="00580904" w:rsidRDefault="00E857FF" w:rsidP="00A44D3E">
            <w:pPr>
              <w:pStyle w:val="Default"/>
              <w:jc w:val="right"/>
            </w:pPr>
          </w:p>
        </w:tc>
        <w:tc>
          <w:tcPr>
            <w:tcW w:w="1470" w:type="dxa"/>
            <w:shd w:val="clear" w:color="auto" w:fill="auto"/>
          </w:tcPr>
          <w:p w14:paraId="1C64D952" w14:textId="77777777" w:rsidR="00E857FF" w:rsidRPr="00580904" w:rsidRDefault="00E857FF" w:rsidP="00A44D3E">
            <w:pPr>
              <w:pStyle w:val="Default"/>
              <w:ind w:right="34"/>
              <w:jc w:val="right"/>
            </w:pPr>
          </w:p>
        </w:tc>
        <w:tc>
          <w:tcPr>
            <w:tcW w:w="1490" w:type="dxa"/>
            <w:shd w:val="clear" w:color="auto" w:fill="auto"/>
          </w:tcPr>
          <w:p w14:paraId="63F1DF4D" w14:textId="77777777" w:rsidR="00E857FF" w:rsidRPr="00580904" w:rsidRDefault="00E857FF" w:rsidP="00A44D3E">
            <w:pPr>
              <w:pStyle w:val="Default"/>
              <w:jc w:val="right"/>
            </w:pPr>
          </w:p>
        </w:tc>
      </w:tr>
      <w:tr w:rsidR="00E857FF" w:rsidRPr="00580904" w14:paraId="2C2FFBE7" w14:textId="77777777" w:rsidTr="00A44D3E">
        <w:tc>
          <w:tcPr>
            <w:tcW w:w="3458" w:type="dxa"/>
            <w:shd w:val="clear" w:color="auto" w:fill="auto"/>
          </w:tcPr>
          <w:p w14:paraId="7F86D13C" w14:textId="77777777" w:rsidR="00E857FF" w:rsidRPr="00580904" w:rsidRDefault="00E857FF" w:rsidP="00A44D3E">
            <w:pPr>
              <w:pStyle w:val="Default"/>
              <w:ind w:right="386"/>
              <w:jc w:val="both"/>
            </w:pPr>
            <w:r>
              <w:t>Door and window replacements</w:t>
            </w:r>
          </w:p>
        </w:tc>
        <w:tc>
          <w:tcPr>
            <w:tcW w:w="1470" w:type="dxa"/>
            <w:shd w:val="clear" w:color="auto" w:fill="auto"/>
          </w:tcPr>
          <w:p w14:paraId="7215FA35" w14:textId="77777777" w:rsidR="00E857FF" w:rsidRPr="00580904" w:rsidRDefault="00E857FF" w:rsidP="00A44D3E">
            <w:pPr>
              <w:pStyle w:val="Default"/>
              <w:jc w:val="right"/>
            </w:pPr>
            <w:r>
              <w:t>50</w:t>
            </w:r>
          </w:p>
        </w:tc>
        <w:tc>
          <w:tcPr>
            <w:tcW w:w="1507" w:type="dxa"/>
            <w:shd w:val="clear" w:color="auto" w:fill="auto"/>
          </w:tcPr>
          <w:p w14:paraId="502CB691" w14:textId="77777777" w:rsidR="00E857FF" w:rsidRPr="00580904" w:rsidRDefault="00E857FF" w:rsidP="00A44D3E">
            <w:pPr>
              <w:pStyle w:val="Default"/>
              <w:jc w:val="right"/>
            </w:pPr>
            <w:r>
              <w:t>0</w:t>
            </w:r>
          </w:p>
        </w:tc>
        <w:tc>
          <w:tcPr>
            <w:tcW w:w="1470" w:type="dxa"/>
            <w:shd w:val="clear" w:color="auto" w:fill="auto"/>
          </w:tcPr>
          <w:p w14:paraId="5E64C77E" w14:textId="77777777" w:rsidR="00E857FF" w:rsidRPr="00580904" w:rsidRDefault="00E857FF" w:rsidP="00A44D3E">
            <w:pPr>
              <w:pStyle w:val="Default"/>
              <w:ind w:right="34"/>
              <w:jc w:val="right"/>
            </w:pPr>
            <w:r>
              <w:t>0</w:t>
            </w:r>
          </w:p>
        </w:tc>
        <w:tc>
          <w:tcPr>
            <w:tcW w:w="1490" w:type="dxa"/>
            <w:shd w:val="clear" w:color="auto" w:fill="auto"/>
          </w:tcPr>
          <w:p w14:paraId="5B461F6A" w14:textId="77777777" w:rsidR="00E857FF" w:rsidRPr="00580904" w:rsidRDefault="00E857FF" w:rsidP="00A44D3E">
            <w:pPr>
              <w:pStyle w:val="Default"/>
              <w:jc w:val="right"/>
            </w:pPr>
            <w:r>
              <w:t>0</w:t>
            </w:r>
          </w:p>
        </w:tc>
      </w:tr>
      <w:tr w:rsidR="00E857FF" w:rsidRPr="00580904" w14:paraId="737DC0D4" w14:textId="77777777" w:rsidTr="00A44D3E">
        <w:tc>
          <w:tcPr>
            <w:tcW w:w="3458" w:type="dxa"/>
            <w:shd w:val="clear" w:color="auto" w:fill="auto"/>
          </w:tcPr>
          <w:p w14:paraId="47DF90F4" w14:textId="77777777" w:rsidR="00E857FF" w:rsidRPr="00580904" w:rsidRDefault="00E857FF" w:rsidP="00A44D3E">
            <w:pPr>
              <w:pStyle w:val="Default"/>
              <w:ind w:right="386"/>
              <w:jc w:val="both"/>
            </w:pPr>
            <w:r>
              <w:t>Energy Efficiency Initiatives</w:t>
            </w:r>
          </w:p>
        </w:tc>
        <w:tc>
          <w:tcPr>
            <w:tcW w:w="1470" w:type="dxa"/>
            <w:shd w:val="clear" w:color="auto" w:fill="auto"/>
          </w:tcPr>
          <w:p w14:paraId="66C8B7C8" w14:textId="77777777" w:rsidR="00E857FF" w:rsidRPr="00580904" w:rsidRDefault="00E857FF" w:rsidP="00A44D3E">
            <w:pPr>
              <w:pStyle w:val="Default"/>
              <w:ind w:right="34"/>
              <w:jc w:val="right"/>
            </w:pPr>
            <w:r>
              <w:t>100</w:t>
            </w:r>
          </w:p>
        </w:tc>
        <w:tc>
          <w:tcPr>
            <w:tcW w:w="1507" w:type="dxa"/>
            <w:shd w:val="clear" w:color="auto" w:fill="auto"/>
          </w:tcPr>
          <w:p w14:paraId="3D3F5703" w14:textId="77777777" w:rsidR="00E857FF" w:rsidRPr="00580904" w:rsidRDefault="00E857FF" w:rsidP="00A44D3E">
            <w:pPr>
              <w:pStyle w:val="Default"/>
              <w:jc w:val="right"/>
            </w:pPr>
            <w:r>
              <w:t>0</w:t>
            </w:r>
          </w:p>
        </w:tc>
        <w:tc>
          <w:tcPr>
            <w:tcW w:w="1470" w:type="dxa"/>
            <w:shd w:val="clear" w:color="auto" w:fill="auto"/>
          </w:tcPr>
          <w:p w14:paraId="41F9E262" w14:textId="77777777" w:rsidR="00E857FF" w:rsidRPr="00580904" w:rsidRDefault="00E857FF" w:rsidP="00A44D3E">
            <w:pPr>
              <w:pStyle w:val="Default"/>
              <w:ind w:right="34"/>
              <w:jc w:val="right"/>
            </w:pPr>
            <w:r>
              <w:t>0</w:t>
            </w:r>
          </w:p>
        </w:tc>
        <w:tc>
          <w:tcPr>
            <w:tcW w:w="1490" w:type="dxa"/>
            <w:shd w:val="clear" w:color="auto" w:fill="auto"/>
          </w:tcPr>
          <w:p w14:paraId="2A6EB0B4" w14:textId="77777777" w:rsidR="00E857FF" w:rsidRPr="00580904" w:rsidRDefault="00E857FF" w:rsidP="00A44D3E">
            <w:pPr>
              <w:pStyle w:val="Default"/>
              <w:jc w:val="right"/>
            </w:pPr>
            <w:r>
              <w:t>0</w:t>
            </w:r>
          </w:p>
        </w:tc>
      </w:tr>
      <w:tr w:rsidR="00E857FF" w:rsidRPr="00580904" w14:paraId="3E0BB2CE" w14:textId="77777777" w:rsidTr="00A44D3E">
        <w:tc>
          <w:tcPr>
            <w:tcW w:w="3458" w:type="dxa"/>
            <w:shd w:val="clear" w:color="auto" w:fill="auto"/>
          </w:tcPr>
          <w:p w14:paraId="3A5B843F" w14:textId="77777777" w:rsidR="00E857FF" w:rsidRPr="00580904" w:rsidRDefault="00E857FF" w:rsidP="00A44D3E">
            <w:pPr>
              <w:pStyle w:val="Default"/>
              <w:ind w:right="386"/>
              <w:jc w:val="both"/>
            </w:pPr>
            <w:r>
              <w:t>Extension to buildings to create larger units</w:t>
            </w:r>
          </w:p>
        </w:tc>
        <w:tc>
          <w:tcPr>
            <w:tcW w:w="1470" w:type="dxa"/>
            <w:shd w:val="clear" w:color="auto" w:fill="auto"/>
          </w:tcPr>
          <w:p w14:paraId="63ED28D8" w14:textId="77777777" w:rsidR="00E857FF" w:rsidRPr="00580904" w:rsidRDefault="00E857FF" w:rsidP="00A44D3E">
            <w:pPr>
              <w:pStyle w:val="Default"/>
              <w:ind w:right="34"/>
              <w:jc w:val="right"/>
            </w:pPr>
            <w:r>
              <w:t>150</w:t>
            </w:r>
          </w:p>
        </w:tc>
        <w:tc>
          <w:tcPr>
            <w:tcW w:w="1507" w:type="dxa"/>
            <w:shd w:val="clear" w:color="auto" w:fill="auto"/>
          </w:tcPr>
          <w:p w14:paraId="1C44DD02" w14:textId="77777777" w:rsidR="00E857FF" w:rsidRPr="00580904" w:rsidRDefault="00E857FF" w:rsidP="00A44D3E">
            <w:pPr>
              <w:pStyle w:val="Default"/>
              <w:jc w:val="right"/>
            </w:pPr>
            <w:r>
              <w:t>0</w:t>
            </w:r>
          </w:p>
        </w:tc>
        <w:tc>
          <w:tcPr>
            <w:tcW w:w="1470" w:type="dxa"/>
            <w:shd w:val="clear" w:color="auto" w:fill="auto"/>
          </w:tcPr>
          <w:p w14:paraId="18DF56D8" w14:textId="77777777" w:rsidR="00E857FF" w:rsidRPr="00580904" w:rsidRDefault="00E857FF" w:rsidP="00A44D3E">
            <w:pPr>
              <w:pStyle w:val="Default"/>
              <w:ind w:right="34"/>
              <w:jc w:val="right"/>
            </w:pPr>
            <w:r>
              <w:t>0</w:t>
            </w:r>
          </w:p>
        </w:tc>
        <w:tc>
          <w:tcPr>
            <w:tcW w:w="1490" w:type="dxa"/>
            <w:shd w:val="clear" w:color="auto" w:fill="auto"/>
          </w:tcPr>
          <w:p w14:paraId="4B134A06" w14:textId="77777777" w:rsidR="00E857FF" w:rsidRPr="00580904" w:rsidRDefault="00E857FF" w:rsidP="00A44D3E">
            <w:pPr>
              <w:pStyle w:val="Default"/>
              <w:jc w:val="right"/>
            </w:pPr>
            <w:r>
              <w:t>0</w:t>
            </w:r>
          </w:p>
        </w:tc>
      </w:tr>
      <w:tr w:rsidR="00E857FF" w:rsidRPr="00580904" w14:paraId="095B0D7C" w14:textId="77777777" w:rsidTr="00A44D3E">
        <w:tc>
          <w:tcPr>
            <w:tcW w:w="3458" w:type="dxa"/>
            <w:shd w:val="clear" w:color="auto" w:fill="auto"/>
          </w:tcPr>
          <w:p w14:paraId="61D74E84" w14:textId="77777777" w:rsidR="00E857FF" w:rsidRPr="00580904" w:rsidRDefault="00E857FF" w:rsidP="00A44D3E">
            <w:pPr>
              <w:pStyle w:val="Default"/>
              <w:ind w:right="386"/>
              <w:jc w:val="both"/>
            </w:pPr>
            <w:r>
              <w:t>Fire Door replacements</w:t>
            </w:r>
          </w:p>
        </w:tc>
        <w:tc>
          <w:tcPr>
            <w:tcW w:w="1470" w:type="dxa"/>
            <w:shd w:val="clear" w:color="auto" w:fill="auto"/>
          </w:tcPr>
          <w:p w14:paraId="1BEC1B50" w14:textId="77777777" w:rsidR="00E857FF" w:rsidRPr="00580904" w:rsidRDefault="00E857FF" w:rsidP="00A44D3E">
            <w:pPr>
              <w:pStyle w:val="Default"/>
              <w:ind w:right="34"/>
              <w:jc w:val="right"/>
            </w:pPr>
            <w:r>
              <w:t>250</w:t>
            </w:r>
          </w:p>
        </w:tc>
        <w:tc>
          <w:tcPr>
            <w:tcW w:w="1507" w:type="dxa"/>
            <w:shd w:val="clear" w:color="auto" w:fill="auto"/>
          </w:tcPr>
          <w:p w14:paraId="4BE07B1E" w14:textId="77777777" w:rsidR="00E857FF" w:rsidRPr="00580904" w:rsidRDefault="00E857FF" w:rsidP="00A44D3E">
            <w:pPr>
              <w:pStyle w:val="Default"/>
              <w:jc w:val="right"/>
            </w:pPr>
            <w:r>
              <w:t>0</w:t>
            </w:r>
          </w:p>
        </w:tc>
        <w:tc>
          <w:tcPr>
            <w:tcW w:w="1470" w:type="dxa"/>
            <w:shd w:val="clear" w:color="auto" w:fill="auto"/>
          </w:tcPr>
          <w:p w14:paraId="7DE00A6E" w14:textId="77777777" w:rsidR="00E857FF" w:rsidRPr="00580904" w:rsidRDefault="00E857FF" w:rsidP="00A44D3E">
            <w:pPr>
              <w:pStyle w:val="Default"/>
              <w:ind w:right="34"/>
              <w:jc w:val="right"/>
            </w:pPr>
            <w:r>
              <w:t>0</w:t>
            </w:r>
          </w:p>
        </w:tc>
        <w:tc>
          <w:tcPr>
            <w:tcW w:w="1490" w:type="dxa"/>
            <w:shd w:val="clear" w:color="auto" w:fill="auto"/>
          </w:tcPr>
          <w:p w14:paraId="16FD2AAE" w14:textId="77777777" w:rsidR="00E857FF" w:rsidRPr="00580904" w:rsidRDefault="00E857FF" w:rsidP="00A44D3E">
            <w:pPr>
              <w:pStyle w:val="Default"/>
              <w:jc w:val="right"/>
            </w:pPr>
            <w:r>
              <w:t>0</w:t>
            </w:r>
          </w:p>
        </w:tc>
      </w:tr>
      <w:tr w:rsidR="00E857FF" w:rsidRPr="00580904" w14:paraId="02072EAB" w14:textId="77777777" w:rsidTr="00A44D3E">
        <w:tc>
          <w:tcPr>
            <w:tcW w:w="3458" w:type="dxa"/>
            <w:shd w:val="clear" w:color="auto" w:fill="auto"/>
          </w:tcPr>
          <w:p w14:paraId="05211156" w14:textId="77777777" w:rsidR="00E857FF" w:rsidRPr="00580904" w:rsidRDefault="00255D4B" w:rsidP="00A44D3E">
            <w:pPr>
              <w:pStyle w:val="Default"/>
              <w:ind w:right="386"/>
              <w:jc w:val="both"/>
            </w:pPr>
            <w:r>
              <w:t>Compulsory purchase of property</w:t>
            </w:r>
          </w:p>
        </w:tc>
        <w:tc>
          <w:tcPr>
            <w:tcW w:w="1470" w:type="dxa"/>
            <w:shd w:val="clear" w:color="auto" w:fill="auto"/>
          </w:tcPr>
          <w:p w14:paraId="60A2C810" w14:textId="77777777" w:rsidR="00E857FF" w:rsidRDefault="00255D4B" w:rsidP="00A44D3E">
            <w:pPr>
              <w:pStyle w:val="Default"/>
              <w:ind w:right="34"/>
              <w:jc w:val="right"/>
            </w:pPr>
            <w:r>
              <w:t>1,000</w:t>
            </w:r>
          </w:p>
          <w:p w14:paraId="5FE1F403" w14:textId="77777777" w:rsidR="00255D4B" w:rsidRPr="00580904" w:rsidRDefault="00255D4B" w:rsidP="00A44D3E">
            <w:pPr>
              <w:pStyle w:val="Default"/>
              <w:ind w:right="34"/>
              <w:jc w:val="right"/>
            </w:pPr>
          </w:p>
        </w:tc>
        <w:tc>
          <w:tcPr>
            <w:tcW w:w="1507" w:type="dxa"/>
            <w:shd w:val="clear" w:color="auto" w:fill="auto"/>
          </w:tcPr>
          <w:p w14:paraId="7A5B0DFF" w14:textId="77777777" w:rsidR="00E857FF" w:rsidRPr="00580904" w:rsidRDefault="00E857FF" w:rsidP="00A44D3E">
            <w:pPr>
              <w:pStyle w:val="Default"/>
              <w:jc w:val="right"/>
            </w:pPr>
          </w:p>
        </w:tc>
        <w:tc>
          <w:tcPr>
            <w:tcW w:w="1470" w:type="dxa"/>
            <w:shd w:val="clear" w:color="auto" w:fill="auto"/>
          </w:tcPr>
          <w:p w14:paraId="1234F9F5" w14:textId="77777777" w:rsidR="00E857FF" w:rsidRPr="00580904" w:rsidRDefault="00E857FF" w:rsidP="00A44D3E">
            <w:pPr>
              <w:pStyle w:val="Default"/>
              <w:ind w:right="34"/>
              <w:jc w:val="right"/>
            </w:pPr>
          </w:p>
        </w:tc>
        <w:tc>
          <w:tcPr>
            <w:tcW w:w="1490" w:type="dxa"/>
            <w:shd w:val="clear" w:color="auto" w:fill="auto"/>
          </w:tcPr>
          <w:p w14:paraId="1565EB79" w14:textId="77777777" w:rsidR="00E857FF" w:rsidRPr="00580904" w:rsidRDefault="00E857FF" w:rsidP="00A44D3E">
            <w:pPr>
              <w:pStyle w:val="Default"/>
              <w:jc w:val="right"/>
            </w:pPr>
          </w:p>
        </w:tc>
      </w:tr>
      <w:tr w:rsidR="00255D4B" w:rsidRPr="00580904" w14:paraId="5A159950" w14:textId="77777777" w:rsidTr="00A44D3E">
        <w:tc>
          <w:tcPr>
            <w:tcW w:w="3458" w:type="dxa"/>
            <w:shd w:val="clear" w:color="auto" w:fill="auto"/>
          </w:tcPr>
          <w:p w14:paraId="689601F4" w14:textId="77777777" w:rsidR="00255D4B" w:rsidRPr="00255D4B" w:rsidRDefault="00255D4B" w:rsidP="00A44D3E">
            <w:pPr>
              <w:pStyle w:val="Default"/>
              <w:ind w:right="386"/>
              <w:jc w:val="both"/>
            </w:pPr>
            <w:r w:rsidRPr="00255D4B">
              <w:t>East Oxford Community Centre Development</w:t>
            </w:r>
          </w:p>
        </w:tc>
        <w:tc>
          <w:tcPr>
            <w:tcW w:w="1470" w:type="dxa"/>
            <w:shd w:val="clear" w:color="auto" w:fill="auto"/>
          </w:tcPr>
          <w:p w14:paraId="5DD5D172" w14:textId="77777777" w:rsidR="00255D4B" w:rsidRPr="00255D4B" w:rsidRDefault="00255D4B" w:rsidP="00A44D3E">
            <w:pPr>
              <w:pStyle w:val="Default"/>
              <w:ind w:right="34"/>
              <w:jc w:val="right"/>
            </w:pPr>
            <w:r w:rsidRPr="00255D4B">
              <w:t>5,300</w:t>
            </w:r>
          </w:p>
        </w:tc>
        <w:tc>
          <w:tcPr>
            <w:tcW w:w="1507" w:type="dxa"/>
            <w:shd w:val="clear" w:color="auto" w:fill="auto"/>
          </w:tcPr>
          <w:p w14:paraId="6ED0F128" w14:textId="77777777" w:rsidR="00255D4B" w:rsidRPr="00255D4B" w:rsidRDefault="00255D4B" w:rsidP="00A44D3E">
            <w:pPr>
              <w:pStyle w:val="Default"/>
              <w:jc w:val="right"/>
            </w:pPr>
            <w:r w:rsidRPr="00255D4B">
              <w:t>5,300</w:t>
            </w:r>
          </w:p>
        </w:tc>
        <w:tc>
          <w:tcPr>
            <w:tcW w:w="1470" w:type="dxa"/>
            <w:shd w:val="clear" w:color="auto" w:fill="auto"/>
          </w:tcPr>
          <w:p w14:paraId="60C07734" w14:textId="77777777" w:rsidR="00255D4B" w:rsidRPr="00255D4B" w:rsidRDefault="00255D4B" w:rsidP="00A44D3E">
            <w:pPr>
              <w:pStyle w:val="Default"/>
              <w:ind w:right="34"/>
              <w:jc w:val="right"/>
            </w:pPr>
            <w:r w:rsidRPr="00255D4B">
              <w:t>0</w:t>
            </w:r>
          </w:p>
        </w:tc>
        <w:tc>
          <w:tcPr>
            <w:tcW w:w="1490" w:type="dxa"/>
            <w:shd w:val="clear" w:color="auto" w:fill="auto"/>
          </w:tcPr>
          <w:p w14:paraId="52A9E07A" w14:textId="77777777" w:rsidR="00255D4B" w:rsidRPr="007D551C" w:rsidRDefault="00255D4B" w:rsidP="00A44D3E">
            <w:pPr>
              <w:pStyle w:val="Default"/>
              <w:jc w:val="right"/>
              <w:rPr>
                <w:b/>
              </w:rPr>
            </w:pPr>
            <w:r>
              <w:rPr>
                <w:b/>
              </w:rPr>
              <w:t>0</w:t>
            </w:r>
          </w:p>
        </w:tc>
      </w:tr>
      <w:tr w:rsidR="00E857FF" w:rsidRPr="00580904" w14:paraId="3B4D67DE" w14:textId="77777777" w:rsidTr="00A44D3E">
        <w:tc>
          <w:tcPr>
            <w:tcW w:w="3458" w:type="dxa"/>
            <w:shd w:val="clear" w:color="auto" w:fill="auto"/>
          </w:tcPr>
          <w:p w14:paraId="09A7689C" w14:textId="77777777" w:rsidR="00E857FF" w:rsidRPr="007D551C" w:rsidRDefault="00E857FF" w:rsidP="00A44D3E">
            <w:pPr>
              <w:pStyle w:val="Default"/>
              <w:ind w:right="386"/>
              <w:jc w:val="both"/>
              <w:rPr>
                <w:b/>
              </w:rPr>
            </w:pPr>
            <w:r w:rsidRPr="007D551C">
              <w:rPr>
                <w:b/>
              </w:rPr>
              <w:t>Total</w:t>
            </w:r>
          </w:p>
        </w:tc>
        <w:tc>
          <w:tcPr>
            <w:tcW w:w="1470" w:type="dxa"/>
            <w:shd w:val="clear" w:color="auto" w:fill="auto"/>
          </w:tcPr>
          <w:p w14:paraId="7664D447" w14:textId="77777777" w:rsidR="00E857FF" w:rsidRPr="007D551C" w:rsidRDefault="00255D4B" w:rsidP="00255D4B">
            <w:pPr>
              <w:pStyle w:val="Default"/>
              <w:ind w:right="34"/>
              <w:jc w:val="right"/>
              <w:rPr>
                <w:b/>
              </w:rPr>
            </w:pPr>
            <w:r>
              <w:rPr>
                <w:b/>
              </w:rPr>
              <w:t>6,8</w:t>
            </w:r>
            <w:r w:rsidR="00E857FF" w:rsidRPr="007D551C">
              <w:rPr>
                <w:b/>
              </w:rPr>
              <w:t>50</w:t>
            </w:r>
          </w:p>
        </w:tc>
        <w:tc>
          <w:tcPr>
            <w:tcW w:w="1507" w:type="dxa"/>
            <w:shd w:val="clear" w:color="auto" w:fill="auto"/>
          </w:tcPr>
          <w:p w14:paraId="15309D0F" w14:textId="77777777" w:rsidR="00E857FF" w:rsidRPr="007D551C" w:rsidRDefault="00255D4B" w:rsidP="00A44D3E">
            <w:pPr>
              <w:pStyle w:val="Default"/>
              <w:jc w:val="right"/>
              <w:rPr>
                <w:b/>
              </w:rPr>
            </w:pPr>
            <w:r>
              <w:rPr>
                <w:b/>
              </w:rPr>
              <w:t>5,30</w:t>
            </w:r>
            <w:r w:rsidR="00E857FF" w:rsidRPr="007D551C">
              <w:rPr>
                <w:b/>
              </w:rPr>
              <w:t>0</w:t>
            </w:r>
          </w:p>
        </w:tc>
        <w:tc>
          <w:tcPr>
            <w:tcW w:w="1470" w:type="dxa"/>
            <w:shd w:val="clear" w:color="auto" w:fill="auto"/>
          </w:tcPr>
          <w:p w14:paraId="05060645" w14:textId="77777777" w:rsidR="00E857FF" w:rsidRPr="007D551C" w:rsidRDefault="00E857FF" w:rsidP="00A44D3E">
            <w:pPr>
              <w:pStyle w:val="Default"/>
              <w:ind w:right="34"/>
              <w:jc w:val="right"/>
              <w:rPr>
                <w:b/>
              </w:rPr>
            </w:pPr>
            <w:r w:rsidRPr="007D551C">
              <w:rPr>
                <w:b/>
              </w:rPr>
              <w:t>0</w:t>
            </w:r>
          </w:p>
        </w:tc>
        <w:tc>
          <w:tcPr>
            <w:tcW w:w="1490" w:type="dxa"/>
            <w:shd w:val="clear" w:color="auto" w:fill="auto"/>
          </w:tcPr>
          <w:p w14:paraId="532B32EC" w14:textId="77777777" w:rsidR="00E857FF" w:rsidRPr="007D551C" w:rsidRDefault="00E857FF" w:rsidP="00A44D3E">
            <w:pPr>
              <w:pStyle w:val="Default"/>
              <w:jc w:val="right"/>
              <w:rPr>
                <w:b/>
              </w:rPr>
            </w:pPr>
            <w:r w:rsidRPr="007D551C">
              <w:rPr>
                <w:b/>
              </w:rPr>
              <w:t>0</w:t>
            </w:r>
          </w:p>
        </w:tc>
      </w:tr>
    </w:tbl>
    <w:p w14:paraId="23968B36" w14:textId="77777777" w:rsidR="00E857FF" w:rsidRDefault="00E857FF" w:rsidP="00614D4F">
      <w:pPr>
        <w:pStyle w:val="Default"/>
        <w:ind w:left="567" w:right="386"/>
        <w:jc w:val="both"/>
        <w:rPr>
          <w:color w:val="auto"/>
        </w:rPr>
      </w:pPr>
    </w:p>
    <w:p w14:paraId="50334B5C" w14:textId="77777777" w:rsidR="002D462C" w:rsidRDefault="002D462C" w:rsidP="00614D4F">
      <w:pPr>
        <w:pStyle w:val="Default"/>
        <w:ind w:left="567" w:right="386"/>
        <w:jc w:val="both"/>
        <w:rPr>
          <w:color w:val="auto"/>
        </w:rPr>
      </w:pPr>
    </w:p>
    <w:p w14:paraId="5ADEED46" w14:textId="77777777" w:rsidR="002D462C" w:rsidRDefault="002D462C" w:rsidP="00614D4F">
      <w:pPr>
        <w:pStyle w:val="Default"/>
        <w:ind w:left="567" w:right="386"/>
        <w:jc w:val="both"/>
        <w:rPr>
          <w:color w:val="auto"/>
        </w:rPr>
      </w:pPr>
    </w:p>
    <w:p w14:paraId="61676F1B" w14:textId="77777777" w:rsidR="00E857FF" w:rsidRPr="00DC2493" w:rsidRDefault="00E857FF" w:rsidP="006D6BBB">
      <w:pPr>
        <w:pStyle w:val="Default"/>
        <w:ind w:right="386"/>
        <w:jc w:val="both"/>
        <w:rPr>
          <w:color w:val="auto"/>
        </w:rPr>
      </w:pPr>
    </w:p>
    <w:p w14:paraId="581E4C81" w14:textId="77777777" w:rsidR="00C043C5" w:rsidRPr="00DC2493" w:rsidRDefault="00390239" w:rsidP="0010427B">
      <w:pPr>
        <w:pStyle w:val="Default"/>
        <w:ind w:left="567" w:right="386" w:hanging="567"/>
        <w:jc w:val="both"/>
        <w:rPr>
          <w:color w:val="auto"/>
        </w:rPr>
      </w:pPr>
      <w:r>
        <w:rPr>
          <w:color w:val="auto"/>
        </w:rPr>
        <w:t>80</w:t>
      </w:r>
      <w:r w:rsidR="0010427B" w:rsidRPr="00DC2493">
        <w:rPr>
          <w:color w:val="auto"/>
        </w:rPr>
        <w:tab/>
      </w:r>
      <w:r w:rsidR="00777CC8" w:rsidRPr="00DC2493">
        <w:rPr>
          <w:color w:val="auto"/>
        </w:rPr>
        <w:t>F</w:t>
      </w:r>
      <w:r w:rsidR="00C043C5" w:rsidRPr="00DC2493">
        <w:rPr>
          <w:color w:val="auto"/>
        </w:rPr>
        <w:t xml:space="preserve">or </w:t>
      </w:r>
      <w:r w:rsidR="00775665" w:rsidRPr="00DC2493">
        <w:rPr>
          <w:color w:val="auto"/>
        </w:rPr>
        <w:t>p</w:t>
      </w:r>
      <w:r w:rsidR="00C043C5" w:rsidRPr="00DC2493">
        <w:rPr>
          <w:color w:val="auto"/>
        </w:rPr>
        <w:t xml:space="preserve">lanning purposes a </w:t>
      </w:r>
      <w:r w:rsidR="000F525A" w:rsidRPr="00DC2493">
        <w:rPr>
          <w:color w:val="auto"/>
        </w:rPr>
        <w:t>4</w:t>
      </w:r>
      <w:r w:rsidR="00C043C5" w:rsidRPr="00DC2493">
        <w:rPr>
          <w:color w:val="auto"/>
        </w:rPr>
        <w:t xml:space="preserve"> year period is considered </w:t>
      </w:r>
      <w:r w:rsidR="004908A9" w:rsidRPr="00DC2493">
        <w:rPr>
          <w:color w:val="auto"/>
        </w:rPr>
        <w:t xml:space="preserve">in detail </w:t>
      </w:r>
      <w:r w:rsidR="00C043C5" w:rsidRPr="00DC2493">
        <w:rPr>
          <w:color w:val="auto"/>
        </w:rPr>
        <w:t xml:space="preserve">and this is shown in Appendix </w:t>
      </w:r>
      <w:r w:rsidR="00F948E1" w:rsidRPr="00DC2493">
        <w:rPr>
          <w:color w:val="auto"/>
        </w:rPr>
        <w:t>6</w:t>
      </w:r>
      <w:r w:rsidR="00C043C5" w:rsidRPr="00DC2493">
        <w:rPr>
          <w:color w:val="auto"/>
        </w:rPr>
        <w:t xml:space="preserve">. In summary spend over </w:t>
      </w:r>
      <w:r w:rsidR="007C1D05" w:rsidRPr="00DC2493">
        <w:rPr>
          <w:color w:val="auto"/>
        </w:rPr>
        <w:t>the</w:t>
      </w:r>
      <w:r w:rsidR="00D878DA" w:rsidRPr="00DC2493">
        <w:rPr>
          <w:color w:val="auto"/>
          <w:lang w:val="en-GB"/>
        </w:rPr>
        <w:t xml:space="preserve">e </w:t>
      </w:r>
      <w:r w:rsidR="00567211" w:rsidRPr="00DC2493">
        <w:rPr>
          <w:color w:val="auto"/>
        </w:rPr>
        <w:t>4</w:t>
      </w:r>
      <w:r w:rsidR="00C043C5" w:rsidRPr="00DC2493">
        <w:rPr>
          <w:color w:val="auto"/>
        </w:rPr>
        <w:t xml:space="preserve"> year </w:t>
      </w:r>
      <w:r w:rsidR="00D878DA" w:rsidRPr="00DC2493">
        <w:rPr>
          <w:color w:val="auto"/>
          <w:lang w:val="en-GB"/>
        </w:rPr>
        <w:t xml:space="preserve">planning </w:t>
      </w:r>
      <w:r w:rsidR="00C043C5" w:rsidRPr="00DC2493">
        <w:rPr>
          <w:color w:val="auto"/>
        </w:rPr>
        <w:t>period is as follows:</w:t>
      </w:r>
    </w:p>
    <w:p w14:paraId="1D69C7B5" w14:textId="77777777" w:rsidR="00CB2E55" w:rsidRPr="00DC2493" w:rsidRDefault="00CB2E55" w:rsidP="0010427B">
      <w:pPr>
        <w:pStyle w:val="Default"/>
        <w:ind w:left="567" w:right="386" w:hanging="567"/>
        <w:jc w:val="both"/>
        <w:rPr>
          <w:color w:val="auto"/>
        </w:rPr>
      </w:pPr>
    </w:p>
    <w:p w14:paraId="7E1F323B" w14:textId="77777777" w:rsidR="00255DB0" w:rsidRPr="00DC2493" w:rsidRDefault="00255DB0" w:rsidP="00614D4F">
      <w:pPr>
        <w:pStyle w:val="Default"/>
        <w:ind w:left="567" w:right="386"/>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1716"/>
        <w:gridCol w:w="1494"/>
        <w:gridCol w:w="1445"/>
        <w:gridCol w:w="1386"/>
      </w:tblGrid>
      <w:tr w:rsidR="005C1C45" w:rsidRPr="00DC2493" w14:paraId="0E0A4915" w14:textId="77777777" w:rsidTr="00BE4A4D">
        <w:tc>
          <w:tcPr>
            <w:tcW w:w="9962" w:type="dxa"/>
            <w:gridSpan w:val="5"/>
            <w:shd w:val="clear" w:color="auto" w:fill="D9D9D9"/>
          </w:tcPr>
          <w:p w14:paraId="0DD70C94" w14:textId="77777777" w:rsidR="005C1C45" w:rsidRPr="00DC2493" w:rsidRDefault="005C1C45" w:rsidP="008E66A7">
            <w:pPr>
              <w:rPr>
                <w:rFonts w:eastAsia="Calibri" w:cs="Arial"/>
                <w:b/>
              </w:rPr>
            </w:pPr>
            <w:r w:rsidRPr="00DC2493">
              <w:rPr>
                <w:rFonts w:eastAsia="Calibri" w:cs="Arial"/>
                <w:b/>
              </w:rPr>
              <w:t>Table 1</w:t>
            </w:r>
            <w:r w:rsidR="008E66A7">
              <w:rPr>
                <w:rFonts w:eastAsia="Calibri" w:cs="Arial"/>
                <w:b/>
              </w:rPr>
              <w:t>2</w:t>
            </w:r>
            <w:r w:rsidRPr="00DC2493">
              <w:rPr>
                <w:rFonts w:eastAsia="Calibri" w:cs="Arial"/>
                <w:b/>
              </w:rPr>
              <w:t xml:space="preserve"> :  Summary of HRA Capital Programme over next 4 years </w:t>
            </w:r>
          </w:p>
        </w:tc>
      </w:tr>
      <w:tr w:rsidR="005C1C45" w:rsidRPr="00DC2493" w14:paraId="0C99FBB5" w14:textId="77777777" w:rsidTr="00FC2EC9">
        <w:tc>
          <w:tcPr>
            <w:tcW w:w="3921" w:type="dxa"/>
            <w:shd w:val="clear" w:color="auto" w:fill="D9D9D9"/>
          </w:tcPr>
          <w:p w14:paraId="3BA270C3" w14:textId="77777777" w:rsidR="005C1C45" w:rsidRPr="00DC2493" w:rsidRDefault="005C1C45" w:rsidP="000F525A">
            <w:pPr>
              <w:rPr>
                <w:rFonts w:eastAsia="Calibri" w:cs="Arial"/>
                <w:b/>
              </w:rPr>
            </w:pPr>
            <w:r w:rsidRPr="00DC2493">
              <w:rPr>
                <w:rFonts w:eastAsia="Calibri" w:cs="Arial"/>
                <w:b/>
              </w:rPr>
              <w:t>Budget</w:t>
            </w:r>
          </w:p>
        </w:tc>
        <w:tc>
          <w:tcPr>
            <w:tcW w:w="1716" w:type="dxa"/>
            <w:shd w:val="clear" w:color="auto" w:fill="D9D9D9"/>
          </w:tcPr>
          <w:p w14:paraId="61CCC347" w14:textId="77777777" w:rsidR="005C1C45" w:rsidRPr="00DC2493" w:rsidRDefault="005C1C45" w:rsidP="008119A8">
            <w:pPr>
              <w:jc w:val="right"/>
              <w:rPr>
                <w:rFonts w:eastAsia="Calibri" w:cs="Arial"/>
                <w:b/>
              </w:rPr>
            </w:pPr>
            <w:r w:rsidRPr="00DC2493">
              <w:rPr>
                <w:rFonts w:eastAsia="Calibri" w:cs="Arial"/>
                <w:b/>
              </w:rPr>
              <w:t>2018/19</w:t>
            </w:r>
          </w:p>
        </w:tc>
        <w:tc>
          <w:tcPr>
            <w:tcW w:w="1494" w:type="dxa"/>
            <w:shd w:val="clear" w:color="auto" w:fill="D9D9D9"/>
          </w:tcPr>
          <w:p w14:paraId="076C5DDA" w14:textId="77777777" w:rsidR="005C1C45" w:rsidRPr="00DC2493" w:rsidRDefault="005C1C45" w:rsidP="008119A8">
            <w:pPr>
              <w:jc w:val="right"/>
              <w:rPr>
                <w:rFonts w:eastAsia="Calibri" w:cs="Arial"/>
                <w:b/>
              </w:rPr>
            </w:pPr>
            <w:r w:rsidRPr="00DC2493">
              <w:rPr>
                <w:rFonts w:eastAsia="Calibri" w:cs="Arial"/>
                <w:b/>
              </w:rPr>
              <w:t>2019/20</w:t>
            </w:r>
          </w:p>
        </w:tc>
        <w:tc>
          <w:tcPr>
            <w:tcW w:w="1445" w:type="dxa"/>
            <w:shd w:val="clear" w:color="auto" w:fill="D9D9D9"/>
          </w:tcPr>
          <w:p w14:paraId="63592C9D" w14:textId="77777777" w:rsidR="005C1C45" w:rsidRPr="00DC2493" w:rsidRDefault="005C1C45" w:rsidP="008119A8">
            <w:pPr>
              <w:jc w:val="right"/>
              <w:rPr>
                <w:rFonts w:eastAsia="Calibri" w:cs="Arial"/>
                <w:b/>
              </w:rPr>
            </w:pPr>
            <w:r w:rsidRPr="00DC2493">
              <w:rPr>
                <w:rFonts w:eastAsia="Calibri" w:cs="Arial"/>
                <w:b/>
              </w:rPr>
              <w:t>2020/21</w:t>
            </w:r>
          </w:p>
        </w:tc>
        <w:tc>
          <w:tcPr>
            <w:tcW w:w="1386" w:type="dxa"/>
            <w:shd w:val="clear" w:color="auto" w:fill="D9D9D9"/>
          </w:tcPr>
          <w:p w14:paraId="6F117A9E" w14:textId="77777777" w:rsidR="005C1C45" w:rsidRPr="00DC2493" w:rsidRDefault="005C1C45" w:rsidP="005C1C45">
            <w:pPr>
              <w:jc w:val="right"/>
              <w:rPr>
                <w:rFonts w:eastAsia="Calibri" w:cs="Arial"/>
                <w:b/>
              </w:rPr>
            </w:pPr>
            <w:r w:rsidRPr="00DC2493">
              <w:rPr>
                <w:rFonts w:eastAsia="Calibri" w:cs="Arial"/>
                <w:b/>
              </w:rPr>
              <w:t>2021/22</w:t>
            </w:r>
          </w:p>
        </w:tc>
      </w:tr>
      <w:tr w:rsidR="005C1C45" w:rsidRPr="00DC2493" w14:paraId="51BB5929" w14:textId="77777777" w:rsidTr="00FC2EC9">
        <w:tc>
          <w:tcPr>
            <w:tcW w:w="3921" w:type="dxa"/>
            <w:shd w:val="clear" w:color="auto" w:fill="auto"/>
          </w:tcPr>
          <w:p w14:paraId="0A5A0F6C" w14:textId="77777777" w:rsidR="005C1C45" w:rsidRPr="00DC2493" w:rsidRDefault="005C1C45" w:rsidP="000F525A">
            <w:pPr>
              <w:rPr>
                <w:rFonts w:eastAsia="Calibri" w:cs="Arial"/>
              </w:rPr>
            </w:pPr>
          </w:p>
        </w:tc>
        <w:tc>
          <w:tcPr>
            <w:tcW w:w="1716" w:type="dxa"/>
            <w:shd w:val="clear" w:color="auto" w:fill="auto"/>
          </w:tcPr>
          <w:p w14:paraId="3C0E4C58" w14:textId="77777777" w:rsidR="005C1C45" w:rsidRPr="00DC2493" w:rsidRDefault="005C1C45" w:rsidP="008119A8">
            <w:pPr>
              <w:jc w:val="right"/>
              <w:rPr>
                <w:rFonts w:eastAsia="Calibri" w:cs="Arial"/>
                <w:b/>
              </w:rPr>
            </w:pPr>
            <w:r w:rsidRPr="00DC2493">
              <w:rPr>
                <w:rFonts w:eastAsia="Calibri" w:cs="Arial"/>
                <w:b/>
              </w:rPr>
              <w:t>£000’s</w:t>
            </w:r>
          </w:p>
        </w:tc>
        <w:tc>
          <w:tcPr>
            <w:tcW w:w="1494" w:type="dxa"/>
          </w:tcPr>
          <w:p w14:paraId="0B93A8F5" w14:textId="77777777" w:rsidR="005C1C45" w:rsidRPr="00DC2493" w:rsidRDefault="005C1C45" w:rsidP="008119A8">
            <w:pPr>
              <w:jc w:val="right"/>
              <w:rPr>
                <w:rFonts w:eastAsia="Calibri" w:cs="Arial"/>
                <w:b/>
              </w:rPr>
            </w:pPr>
            <w:r w:rsidRPr="00DC2493">
              <w:rPr>
                <w:rFonts w:eastAsia="Calibri" w:cs="Arial"/>
                <w:b/>
              </w:rPr>
              <w:t>£000’s</w:t>
            </w:r>
          </w:p>
        </w:tc>
        <w:tc>
          <w:tcPr>
            <w:tcW w:w="1445" w:type="dxa"/>
            <w:shd w:val="clear" w:color="auto" w:fill="auto"/>
          </w:tcPr>
          <w:p w14:paraId="3AC58271" w14:textId="77777777" w:rsidR="005C1C45" w:rsidRPr="00DC2493" w:rsidRDefault="005C1C45" w:rsidP="008119A8">
            <w:pPr>
              <w:jc w:val="right"/>
              <w:rPr>
                <w:rFonts w:eastAsia="Calibri" w:cs="Arial"/>
                <w:b/>
              </w:rPr>
            </w:pPr>
            <w:r w:rsidRPr="00DC2493">
              <w:rPr>
                <w:rFonts w:eastAsia="Calibri" w:cs="Arial"/>
                <w:b/>
              </w:rPr>
              <w:t>£000’s</w:t>
            </w:r>
          </w:p>
        </w:tc>
        <w:tc>
          <w:tcPr>
            <w:tcW w:w="1386" w:type="dxa"/>
            <w:shd w:val="clear" w:color="auto" w:fill="auto"/>
          </w:tcPr>
          <w:p w14:paraId="4629EECF" w14:textId="77777777" w:rsidR="005C1C45" w:rsidRPr="00DC2493" w:rsidRDefault="005C1C45" w:rsidP="008119A8">
            <w:pPr>
              <w:jc w:val="right"/>
              <w:rPr>
                <w:rFonts w:eastAsia="Calibri" w:cs="Arial"/>
                <w:b/>
              </w:rPr>
            </w:pPr>
            <w:r w:rsidRPr="00DC2493">
              <w:rPr>
                <w:rFonts w:eastAsia="Calibri" w:cs="Arial"/>
                <w:b/>
              </w:rPr>
              <w:t>£000’s</w:t>
            </w:r>
          </w:p>
        </w:tc>
      </w:tr>
      <w:tr w:rsidR="005C1C45" w:rsidRPr="00DC2493" w14:paraId="73DDBEB7" w14:textId="77777777" w:rsidTr="00FC2EC9">
        <w:tc>
          <w:tcPr>
            <w:tcW w:w="3921" w:type="dxa"/>
            <w:shd w:val="clear" w:color="auto" w:fill="FFFF00"/>
          </w:tcPr>
          <w:p w14:paraId="1B584B32" w14:textId="77777777" w:rsidR="005C1C45" w:rsidRPr="00DC2493" w:rsidRDefault="005C1C45" w:rsidP="000F525A">
            <w:pPr>
              <w:rPr>
                <w:rFonts w:eastAsia="Calibri" w:cs="Arial"/>
              </w:rPr>
            </w:pPr>
            <w:r w:rsidRPr="00DC2493">
              <w:rPr>
                <w:rFonts w:eastAsia="Calibri" w:cs="Arial"/>
              </w:rPr>
              <w:t>Tower Blocks</w:t>
            </w:r>
          </w:p>
        </w:tc>
        <w:tc>
          <w:tcPr>
            <w:tcW w:w="1716" w:type="dxa"/>
            <w:shd w:val="clear" w:color="auto" w:fill="auto"/>
          </w:tcPr>
          <w:p w14:paraId="254973B7" w14:textId="77777777" w:rsidR="005C1C45" w:rsidRPr="00DC2493" w:rsidRDefault="00255D4B" w:rsidP="00255D4B">
            <w:pPr>
              <w:jc w:val="right"/>
              <w:rPr>
                <w:rFonts w:eastAsia="Calibri" w:cs="Arial"/>
              </w:rPr>
            </w:pPr>
            <w:r>
              <w:rPr>
                <w:rFonts w:eastAsia="Calibri" w:cs="Arial"/>
              </w:rPr>
              <w:t>78</w:t>
            </w:r>
            <w:r w:rsidR="005C1C45" w:rsidRPr="00DC2493">
              <w:rPr>
                <w:rFonts w:eastAsia="Calibri" w:cs="Arial"/>
              </w:rPr>
              <w:t>4</w:t>
            </w:r>
          </w:p>
        </w:tc>
        <w:tc>
          <w:tcPr>
            <w:tcW w:w="1494" w:type="dxa"/>
          </w:tcPr>
          <w:p w14:paraId="0DE8EFF3" w14:textId="77777777" w:rsidR="005C1C45" w:rsidRPr="00DC2493" w:rsidRDefault="005C1C45" w:rsidP="008119A8">
            <w:pPr>
              <w:jc w:val="right"/>
              <w:rPr>
                <w:rFonts w:eastAsia="Calibri" w:cs="Arial"/>
              </w:rPr>
            </w:pPr>
            <w:r w:rsidRPr="00DC2493">
              <w:rPr>
                <w:rFonts w:eastAsia="Calibri" w:cs="Arial"/>
              </w:rPr>
              <w:t>0</w:t>
            </w:r>
          </w:p>
        </w:tc>
        <w:tc>
          <w:tcPr>
            <w:tcW w:w="1445" w:type="dxa"/>
            <w:shd w:val="clear" w:color="auto" w:fill="auto"/>
          </w:tcPr>
          <w:p w14:paraId="3C4A0728" w14:textId="77777777" w:rsidR="005C1C45" w:rsidRPr="00DC2493" w:rsidRDefault="005C1C45" w:rsidP="008119A8">
            <w:pPr>
              <w:jc w:val="right"/>
              <w:rPr>
                <w:rFonts w:eastAsia="Calibri" w:cs="Arial"/>
              </w:rPr>
            </w:pPr>
            <w:r w:rsidRPr="00DC2493">
              <w:rPr>
                <w:rFonts w:eastAsia="Calibri" w:cs="Arial"/>
              </w:rPr>
              <w:t>0</w:t>
            </w:r>
          </w:p>
        </w:tc>
        <w:tc>
          <w:tcPr>
            <w:tcW w:w="1386" w:type="dxa"/>
            <w:shd w:val="clear" w:color="auto" w:fill="auto"/>
          </w:tcPr>
          <w:p w14:paraId="7F01671D" w14:textId="77777777" w:rsidR="005C1C45" w:rsidRPr="00DC2493" w:rsidRDefault="005C1C45" w:rsidP="008119A8">
            <w:pPr>
              <w:jc w:val="right"/>
              <w:rPr>
                <w:rFonts w:eastAsia="Calibri" w:cs="Arial"/>
              </w:rPr>
            </w:pPr>
            <w:r w:rsidRPr="00DC2493">
              <w:rPr>
                <w:rFonts w:eastAsia="Calibri" w:cs="Arial"/>
              </w:rPr>
              <w:t>0</w:t>
            </w:r>
          </w:p>
        </w:tc>
      </w:tr>
      <w:tr w:rsidR="005C1C45" w:rsidRPr="00DC2493" w14:paraId="48E842B9" w14:textId="77777777" w:rsidTr="00FC2EC9">
        <w:tc>
          <w:tcPr>
            <w:tcW w:w="3921" w:type="dxa"/>
            <w:shd w:val="clear" w:color="auto" w:fill="FFFF00"/>
          </w:tcPr>
          <w:p w14:paraId="1CEA6400" w14:textId="77777777" w:rsidR="005C1C45" w:rsidRPr="00DC2493" w:rsidRDefault="00A12587" w:rsidP="000F525A">
            <w:pPr>
              <w:rPr>
                <w:rFonts w:eastAsia="Calibri" w:cs="Arial"/>
              </w:rPr>
            </w:pPr>
            <w:r>
              <w:rPr>
                <w:rFonts w:eastAsia="Calibri" w:cs="Arial"/>
              </w:rPr>
              <w:t>Disabled adaptations</w:t>
            </w:r>
          </w:p>
        </w:tc>
        <w:tc>
          <w:tcPr>
            <w:tcW w:w="1716" w:type="dxa"/>
            <w:shd w:val="clear" w:color="auto" w:fill="auto"/>
          </w:tcPr>
          <w:p w14:paraId="670B0EAB" w14:textId="77777777" w:rsidR="005C1C45" w:rsidRPr="00DC2493" w:rsidRDefault="005C1C45" w:rsidP="008119A8">
            <w:pPr>
              <w:jc w:val="right"/>
              <w:rPr>
                <w:rFonts w:eastAsia="Calibri" w:cs="Arial"/>
              </w:rPr>
            </w:pPr>
            <w:r w:rsidRPr="00DC2493">
              <w:rPr>
                <w:rFonts w:eastAsia="Calibri" w:cs="Arial"/>
              </w:rPr>
              <w:t>617</w:t>
            </w:r>
          </w:p>
        </w:tc>
        <w:tc>
          <w:tcPr>
            <w:tcW w:w="1494" w:type="dxa"/>
          </w:tcPr>
          <w:p w14:paraId="2E3E9894" w14:textId="77777777" w:rsidR="005C1C45" w:rsidRPr="00DC2493" w:rsidRDefault="005C1C45" w:rsidP="008119A8">
            <w:pPr>
              <w:jc w:val="right"/>
              <w:rPr>
                <w:rFonts w:eastAsia="Calibri" w:cs="Arial"/>
              </w:rPr>
            </w:pPr>
            <w:r w:rsidRPr="00DC2493">
              <w:rPr>
                <w:rFonts w:eastAsia="Calibri" w:cs="Arial"/>
              </w:rPr>
              <w:t>633</w:t>
            </w:r>
          </w:p>
        </w:tc>
        <w:tc>
          <w:tcPr>
            <w:tcW w:w="1445" w:type="dxa"/>
            <w:shd w:val="clear" w:color="auto" w:fill="auto"/>
          </w:tcPr>
          <w:p w14:paraId="3270332B" w14:textId="77777777" w:rsidR="005C1C45" w:rsidRPr="00DC2493" w:rsidRDefault="005C1C45" w:rsidP="008119A8">
            <w:pPr>
              <w:jc w:val="right"/>
              <w:rPr>
                <w:rFonts w:eastAsia="Calibri" w:cs="Arial"/>
              </w:rPr>
            </w:pPr>
            <w:r w:rsidRPr="00DC2493">
              <w:rPr>
                <w:rFonts w:eastAsia="Calibri" w:cs="Arial"/>
              </w:rPr>
              <w:t>648</w:t>
            </w:r>
          </w:p>
        </w:tc>
        <w:tc>
          <w:tcPr>
            <w:tcW w:w="1386" w:type="dxa"/>
            <w:shd w:val="clear" w:color="auto" w:fill="auto"/>
          </w:tcPr>
          <w:p w14:paraId="1567C474" w14:textId="77777777" w:rsidR="005C1C45" w:rsidRPr="00DC2493" w:rsidRDefault="005C1C45" w:rsidP="005C1C45">
            <w:pPr>
              <w:jc w:val="right"/>
              <w:rPr>
                <w:rFonts w:eastAsia="Calibri" w:cs="Arial"/>
              </w:rPr>
            </w:pPr>
            <w:r w:rsidRPr="00DC2493">
              <w:rPr>
                <w:rFonts w:eastAsia="Calibri" w:cs="Arial"/>
              </w:rPr>
              <w:t>664</w:t>
            </w:r>
          </w:p>
        </w:tc>
      </w:tr>
      <w:tr w:rsidR="005C1C45" w:rsidRPr="00DC2493" w14:paraId="71F38A76" w14:textId="77777777" w:rsidTr="00FC2EC9">
        <w:tc>
          <w:tcPr>
            <w:tcW w:w="3921" w:type="dxa"/>
            <w:shd w:val="clear" w:color="auto" w:fill="FFFF00"/>
          </w:tcPr>
          <w:p w14:paraId="11548FF9" w14:textId="77777777" w:rsidR="005C1C45" w:rsidRPr="00DC2493" w:rsidRDefault="005C1C45" w:rsidP="008C62A9">
            <w:pPr>
              <w:rPr>
                <w:rFonts w:eastAsia="Calibri" w:cs="Arial"/>
              </w:rPr>
            </w:pPr>
            <w:r w:rsidRPr="00DC2493">
              <w:rPr>
                <w:rFonts w:eastAsia="Calibri" w:cs="Arial"/>
              </w:rPr>
              <w:t xml:space="preserve">Improvements </w:t>
            </w:r>
          </w:p>
        </w:tc>
        <w:tc>
          <w:tcPr>
            <w:tcW w:w="1716" w:type="dxa"/>
            <w:shd w:val="clear" w:color="auto" w:fill="auto"/>
          </w:tcPr>
          <w:p w14:paraId="7423F1FC" w14:textId="77777777" w:rsidR="005C1C45" w:rsidRPr="00DC2493" w:rsidRDefault="00A12587" w:rsidP="00A12587">
            <w:pPr>
              <w:jc w:val="right"/>
              <w:rPr>
                <w:rFonts w:eastAsia="Calibri" w:cs="Arial"/>
              </w:rPr>
            </w:pPr>
            <w:r>
              <w:rPr>
                <w:rFonts w:eastAsia="Calibri" w:cs="Arial"/>
              </w:rPr>
              <w:t>973</w:t>
            </w:r>
          </w:p>
        </w:tc>
        <w:tc>
          <w:tcPr>
            <w:tcW w:w="1494" w:type="dxa"/>
          </w:tcPr>
          <w:p w14:paraId="22074909" w14:textId="77777777" w:rsidR="005C1C45" w:rsidRPr="00DC2493" w:rsidRDefault="005C1C45" w:rsidP="008119A8">
            <w:pPr>
              <w:jc w:val="right"/>
              <w:rPr>
                <w:rFonts w:eastAsia="Calibri" w:cs="Arial"/>
              </w:rPr>
            </w:pPr>
            <w:r w:rsidRPr="00DC2493">
              <w:rPr>
                <w:rFonts w:eastAsia="Calibri" w:cs="Arial"/>
              </w:rPr>
              <w:t>784</w:t>
            </w:r>
          </w:p>
        </w:tc>
        <w:tc>
          <w:tcPr>
            <w:tcW w:w="1445" w:type="dxa"/>
            <w:shd w:val="clear" w:color="auto" w:fill="auto"/>
          </w:tcPr>
          <w:p w14:paraId="0C8994BF" w14:textId="77777777" w:rsidR="005C1C45" w:rsidRPr="00DC2493" w:rsidRDefault="005C1C45" w:rsidP="00FC2EC9">
            <w:pPr>
              <w:jc w:val="right"/>
              <w:rPr>
                <w:rFonts w:eastAsia="Calibri" w:cs="Arial"/>
              </w:rPr>
            </w:pPr>
            <w:r w:rsidRPr="00DC2493">
              <w:rPr>
                <w:rFonts w:eastAsia="Calibri" w:cs="Arial"/>
              </w:rPr>
              <w:t>795</w:t>
            </w:r>
          </w:p>
        </w:tc>
        <w:tc>
          <w:tcPr>
            <w:tcW w:w="1386" w:type="dxa"/>
            <w:shd w:val="clear" w:color="auto" w:fill="auto"/>
          </w:tcPr>
          <w:p w14:paraId="151C18E3" w14:textId="77777777" w:rsidR="005C1C45" w:rsidRPr="00DC2493" w:rsidRDefault="005C1C45" w:rsidP="00FC2EC9">
            <w:pPr>
              <w:jc w:val="right"/>
              <w:rPr>
                <w:rFonts w:eastAsia="Calibri" w:cs="Arial"/>
              </w:rPr>
            </w:pPr>
            <w:r w:rsidRPr="00DC2493">
              <w:rPr>
                <w:rFonts w:eastAsia="Calibri" w:cs="Arial"/>
              </w:rPr>
              <w:t>805</w:t>
            </w:r>
          </w:p>
        </w:tc>
      </w:tr>
      <w:tr w:rsidR="005C1C45" w:rsidRPr="00DC2493" w14:paraId="7E737D74" w14:textId="77777777" w:rsidTr="00FC2EC9">
        <w:tc>
          <w:tcPr>
            <w:tcW w:w="3921" w:type="dxa"/>
            <w:shd w:val="clear" w:color="auto" w:fill="FFFF00"/>
          </w:tcPr>
          <w:p w14:paraId="2713D471" w14:textId="77777777" w:rsidR="005C1C45" w:rsidRPr="00DC2493" w:rsidRDefault="005C1C45" w:rsidP="000F525A">
            <w:pPr>
              <w:rPr>
                <w:rFonts w:eastAsia="Calibri" w:cs="Arial"/>
              </w:rPr>
            </w:pPr>
            <w:r w:rsidRPr="00DC2493">
              <w:rPr>
                <w:rFonts w:eastAsia="Calibri" w:cs="Arial"/>
              </w:rPr>
              <w:t>Regulatory</w:t>
            </w:r>
          </w:p>
        </w:tc>
        <w:tc>
          <w:tcPr>
            <w:tcW w:w="1716" w:type="dxa"/>
            <w:shd w:val="clear" w:color="auto" w:fill="auto"/>
          </w:tcPr>
          <w:p w14:paraId="3EC9CB64" w14:textId="77777777" w:rsidR="005C1C45" w:rsidRPr="00DC2493" w:rsidRDefault="005C1C45" w:rsidP="008119A8">
            <w:pPr>
              <w:jc w:val="right"/>
              <w:rPr>
                <w:rFonts w:eastAsia="Calibri" w:cs="Arial"/>
              </w:rPr>
            </w:pPr>
            <w:r w:rsidRPr="00DC2493">
              <w:rPr>
                <w:rFonts w:eastAsia="Calibri" w:cs="Arial"/>
              </w:rPr>
              <w:t>5,203</w:t>
            </w:r>
          </w:p>
        </w:tc>
        <w:tc>
          <w:tcPr>
            <w:tcW w:w="1494" w:type="dxa"/>
          </w:tcPr>
          <w:p w14:paraId="5E8C9B16" w14:textId="77777777" w:rsidR="005C1C45" w:rsidRPr="00DC2493" w:rsidRDefault="005C1C45" w:rsidP="00FC2EC9">
            <w:pPr>
              <w:tabs>
                <w:tab w:val="left" w:pos="1050"/>
              </w:tabs>
              <w:jc w:val="right"/>
              <w:rPr>
                <w:rFonts w:eastAsia="Calibri" w:cs="Arial"/>
              </w:rPr>
            </w:pPr>
            <w:r w:rsidRPr="00DC2493">
              <w:rPr>
                <w:rFonts w:eastAsia="Calibri" w:cs="Arial"/>
              </w:rPr>
              <w:t>5,344</w:t>
            </w:r>
          </w:p>
        </w:tc>
        <w:tc>
          <w:tcPr>
            <w:tcW w:w="1445" w:type="dxa"/>
            <w:shd w:val="clear" w:color="auto" w:fill="auto"/>
          </w:tcPr>
          <w:p w14:paraId="53267A13" w14:textId="77777777" w:rsidR="005C1C45" w:rsidRPr="00DC2493" w:rsidRDefault="005C1C45" w:rsidP="008119A8">
            <w:pPr>
              <w:jc w:val="right"/>
              <w:rPr>
                <w:rFonts w:eastAsia="Calibri" w:cs="Arial"/>
              </w:rPr>
            </w:pPr>
            <w:r w:rsidRPr="00DC2493">
              <w:rPr>
                <w:rFonts w:eastAsia="Calibri" w:cs="Arial"/>
              </w:rPr>
              <w:t>5,479</w:t>
            </w:r>
          </w:p>
        </w:tc>
        <w:tc>
          <w:tcPr>
            <w:tcW w:w="1386" w:type="dxa"/>
            <w:shd w:val="clear" w:color="auto" w:fill="auto"/>
          </w:tcPr>
          <w:p w14:paraId="06261800" w14:textId="77777777" w:rsidR="005C1C45" w:rsidRPr="00DC2493" w:rsidRDefault="00DC2493" w:rsidP="008119A8">
            <w:pPr>
              <w:jc w:val="right"/>
              <w:rPr>
                <w:rFonts w:eastAsia="Calibri" w:cs="Arial"/>
              </w:rPr>
            </w:pPr>
            <w:r w:rsidRPr="00DC2493">
              <w:rPr>
                <w:rFonts w:eastAsia="Calibri" w:cs="Arial"/>
              </w:rPr>
              <w:t>5,203</w:t>
            </w:r>
          </w:p>
        </w:tc>
      </w:tr>
      <w:tr w:rsidR="005C1C45" w:rsidRPr="00DC2493" w14:paraId="4B837AF8" w14:textId="77777777" w:rsidTr="00FC2EC9">
        <w:tc>
          <w:tcPr>
            <w:tcW w:w="3921" w:type="dxa"/>
            <w:shd w:val="clear" w:color="auto" w:fill="FFFF00"/>
          </w:tcPr>
          <w:p w14:paraId="2FA0D9F5" w14:textId="77777777" w:rsidR="005C1C45" w:rsidRPr="00DC2493" w:rsidRDefault="005C1C45" w:rsidP="000F525A">
            <w:pPr>
              <w:rPr>
                <w:rFonts w:eastAsia="Calibri" w:cs="Arial"/>
              </w:rPr>
            </w:pPr>
            <w:r w:rsidRPr="00DC2493">
              <w:rPr>
                <w:rFonts w:eastAsia="Calibri" w:cs="Arial"/>
              </w:rPr>
              <w:t>Regeneration</w:t>
            </w:r>
          </w:p>
        </w:tc>
        <w:tc>
          <w:tcPr>
            <w:tcW w:w="1716" w:type="dxa"/>
            <w:shd w:val="clear" w:color="auto" w:fill="auto"/>
          </w:tcPr>
          <w:p w14:paraId="48D64792" w14:textId="77777777" w:rsidR="005C1C45" w:rsidRPr="00DC2493" w:rsidRDefault="00A12587" w:rsidP="00A12587">
            <w:pPr>
              <w:jc w:val="right"/>
              <w:rPr>
                <w:rFonts w:eastAsia="Calibri" w:cs="Arial"/>
              </w:rPr>
            </w:pPr>
            <w:r>
              <w:rPr>
                <w:rFonts w:eastAsia="Calibri" w:cs="Arial"/>
              </w:rPr>
              <w:t>11,021</w:t>
            </w:r>
          </w:p>
        </w:tc>
        <w:tc>
          <w:tcPr>
            <w:tcW w:w="1494" w:type="dxa"/>
          </w:tcPr>
          <w:p w14:paraId="5F849563" w14:textId="77777777" w:rsidR="005C1C45" w:rsidRPr="00DC2493" w:rsidRDefault="00A12587" w:rsidP="00A12587">
            <w:pPr>
              <w:jc w:val="right"/>
              <w:rPr>
                <w:rFonts w:eastAsia="Calibri" w:cs="Arial"/>
              </w:rPr>
            </w:pPr>
            <w:r>
              <w:rPr>
                <w:rFonts w:eastAsia="Calibri" w:cs="Arial"/>
              </w:rPr>
              <w:t>9,0</w:t>
            </w:r>
            <w:r w:rsidR="00DC2493" w:rsidRPr="00DC2493">
              <w:rPr>
                <w:rFonts w:eastAsia="Calibri" w:cs="Arial"/>
              </w:rPr>
              <w:t>73</w:t>
            </w:r>
          </w:p>
        </w:tc>
        <w:tc>
          <w:tcPr>
            <w:tcW w:w="1445" w:type="dxa"/>
            <w:shd w:val="clear" w:color="auto" w:fill="auto"/>
          </w:tcPr>
          <w:p w14:paraId="7C63DFA3" w14:textId="77777777" w:rsidR="005C1C45" w:rsidRPr="00DC2493" w:rsidRDefault="00E857FF" w:rsidP="00E857FF">
            <w:pPr>
              <w:jc w:val="right"/>
              <w:rPr>
                <w:rFonts w:eastAsia="Calibri" w:cs="Arial"/>
              </w:rPr>
            </w:pPr>
            <w:r>
              <w:rPr>
                <w:rFonts w:eastAsia="Calibri" w:cs="Arial"/>
              </w:rPr>
              <w:t>3,371</w:t>
            </w:r>
          </w:p>
        </w:tc>
        <w:tc>
          <w:tcPr>
            <w:tcW w:w="1386" w:type="dxa"/>
            <w:shd w:val="clear" w:color="auto" w:fill="auto"/>
          </w:tcPr>
          <w:p w14:paraId="1E8766E7" w14:textId="77777777" w:rsidR="005C1C45" w:rsidRPr="00DC2493" w:rsidRDefault="00DC2493" w:rsidP="00FC2EC9">
            <w:pPr>
              <w:jc w:val="right"/>
              <w:rPr>
                <w:rFonts w:eastAsia="Calibri" w:cs="Arial"/>
              </w:rPr>
            </w:pPr>
            <w:r w:rsidRPr="00DC2493">
              <w:rPr>
                <w:rFonts w:eastAsia="Calibri" w:cs="Arial"/>
              </w:rPr>
              <w:t>600</w:t>
            </w:r>
          </w:p>
        </w:tc>
      </w:tr>
      <w:tr w:rsidR="005C1C45" w:rsidRPr="00DC2493" w14:paraId="4276A1F3" w14:textId="77777777" w:rsidTr="00FC2EC9">
        <w:tc>
          <w:tcPr>
            <w:tcW w:w="3921" w:type="dxa"/>
            <w:shd w:val="clear" w:color="auto" w:fill="FFFF00"/>
          </w:tcPr>
          <w:p w14:paraId="0E1147C6" w14:textId="77777777" w:rsidR="005C1C45" w:rsidRPr="00DC2493" w:rsidRDefault="005C1C45" w:rsidP="000F525A">
            <w:pPr>
              <w:rPr>
                <w:rFonts w:eastAsia="Calibri" w:cs="Arial"/>
              </w:rPr>
            </w:pPr>
            <w:r w:rsidRPr="00DC2493">
              <w:rPr>
                <w:rFonts w:eastAsia="Calibri" w:cs="Arial"/>
              </w:rPr>
              <w:t xml:space="preserve">Other </w:t>
            </w:r>
          </w:p>
        </w:tc>
        <w:tc>
          <w:tcPr>
            <w:tcW w:w="1716" w:type="dxa"/>
            <w:shd w:val="clear" w:color="auto" w:fill="auto"/>
          </w:tcPr>
          <w:p w14:paraId="47FB3BF0" w14:textId="77777777" w:rsidR="005C1C45" w:rsidRPr="00DC2493" w:rsidRDefault="00A12587" w:rsidP="008119A8">
            <w:pPr>
              <w:jc w:val="right"/>
              <w:rPr>
                <w:rFonts w:eastAsia="Calibri" w:cs="Arial"/>
              </w:rPr>
            </w:pPr>
            <w:r>
              <w:rPr>
                <w:rFonts w:eastAsia="Calibri" w:cs="Arial"/>
              </w:rPr>
              <w:t>792</w:t>
            </w:r>
          </w:p>
        </w:tc>
        <w:tc>
          <w:tcPr>
            <w:tcW w:w="1494" w:type="dxa"/>
          </w:tcPr>
          <w:p w14:paraId="0C374B32" w14:textId="77777777" w:rsidR="005C1C45" w:rsidRPr="00DC2493" w:rsidRDefault="00DC2493" w:rsidP="008119A8">
            <w:pPr>
              <w:jc w:val="right"/>
              <w:rPr>
                <w:rFonts w:eastAsia="Calibri" w:cs="Arial"/>
              </w:rPr>
            </w:pPr>
            <w:r w:rsidRPr="00DC2493">
              <w:rPr>
                <w:rFonts w:eastAsia="Calibri" w:cs="Arial"/>
              </w:rPr>
              <w:t>709</w:t>
            </w:r>
          </w:p>
        </w:tc>
        <w:tc>
          <w:tcPr>
            <w:tcW w:w="1445" w:type="dxa"/>
            <w:shd w:val="clear" w:color="auto" w:fill="auto"/>
          </w:tcPr>
          <w:p w14:paraId="404C6AF2" w14:textId="77777777" w:rsidR="005C1C45" w:rsidRPr="00DC2493" w:rsidRDefault="00DC2493" w:rsidP="008119A8">
            <w:pPr>
              <w:jc w:val="right"/>
              <w:rPr>
                <w:rFonts w:eastAsia="Calibri" w:cs="Arial"/>
              </w:rPr>
            </w:pPr>
            <w:r w:rsidRPr="00DC2493">
              <w:rPr>
                <w:rFonts w:eastAsia="Calibri" w:cs="Arial"/>
              </w:rPr>
              <w:t>727</w:t>
            </w:r>
          </w:p>
        </w:tc>
        <w:tc>
          <w:tcPr>
            <w:tcW w:w="1386" w:type="dxa"/>
            <w:shd w:val="clear" w:color="auto" w:fill="auto"/>
          </w:tcPr>
          <w:p w14:paraId="4EAF9F14" w14:textId="77777777" w:rsidR="005C1C45" w:rsidRPr="00DC2493" w:rsidRDefault="00DC2493" w:rsidP="008119A8">
            <w:pPr>
              <w:jc w:val="right"/>
              <w:rPr>
                <w:rFonts w:eastAsia="Calibri" w:cs="Arial"/>
              </w:rPr>
            </w:pPr>
            <w:r w:rsidRPr="00DC2493">
              <w:rPr>
                <w:rFonts w:eastAsia="Calibri" w:cs="Arial"/>
              </w:rPr>
              <w:t>772</w:t>
            </w:r>
          </w:p>
        </w:tc>
      </w:tr>
      <w:tr w:rsidR="00DC2493" w:rsidRPr="00DC2493" w14:paraId="2697C2EF" w14:textId="77777777" w:rsidTr="00FC2EC9">
        <w:tc>
          <w:tcPr>
            <w:tcW w:w="3921" w:type="dxa"/>
            <w:shd w:val="clear" w:color="auto" w:fill="FFFF00"/>
          </w:tcPr>
          <w:p w14:paraId="5C2FBF64" w14:textId="77777777" w:rsidR="00DC2493" w:rsidRPr="00DC2493" w:rsidRDefault="00DC2493" w:rsidP="000F525A">
            <w:pPr>
              <w:rPr>
                <w:rFonts w:eastAsia="Calibri" w:cs="Arial"/>
              </w:rPr>
            </w:pPr>
            <w:r w:rsidRPr="00DC2493">
              <w:rPr>
                <w:rFonts w:eastAsia="Calibri" w:cs="Arial"/>
              </w:rPr>
              <w:t>Contingency for HVCH</w:t>
            </w:r>
          </w:p>
        </w:tc>
        <w:tc>
          <w:tcPr>
            <w:tcW w:w="1716" w:type="dxa"/>
            <w:shd w:val="clear" w:color="auto" w:fill="auto"/>
          </w:tcPr>
          <w:p w14:paraId="2ECE508C" w14:textId="77777777" w:rsidR="00DC2493" w:rsidRPr="00DC2493" w:rsidRDefault="00A12587" w:rsidP="008119A8">
            <w:pPr>
              <w:jc w:val="right"/>
              <w:rPr>
                <w:rFonts w:eastAsia="Calibri" w:cs="Arial"/>
              </w:rPr>
            </w:pPr>
            <w:r>
              <w:rPr>
                <w:rFonts w:eastAsia="Calibri" w:cs="Arial"/>
              </w:rPr>
              <w:t>0</w:t>
            </w:r>
          </w:p>
        </w:tc>
        <w:tc>
          <w:tcPr>
            <w:tcW w:w="1494" w:type="dxa"/>
          </w:tcPr>
          <w:p w14:paraId="3BF4CFF2" w14:textId="77777777" w:rsidR="00DC2493" w:rsidRPr="00DC2493" w:rsidRDefault="00DC2493" w:rsidP="00434261">
            <w:pPr>
              <w:jc w:val="right"/>
              <w:rPr>
                <w:rFonts w:eastAsia="Calibri" w:cs="Arial"/>
              </w:rPr>
            </w:pPr>
            <w:r w:rsidRPr="00DC2493">
              <w:rPr>
                <w:rFonts w:eastAsia="Calibri" w:cs="Arial"/>
              </w:rPr>
              <w:t>7,703</w:t>
            </w:r>
          </w:p>
        </w:tc>
        <w:tc>
          <w:tcPr>
            <w:tcW w:w="1445" w:type="dxa"/>
            <w:shd w:val="clear" w:color="auto" w:fill="auto"/>
          </w:tcPr>
          <w:p w14:paraId="39DA3C86" w14:textId="77777777" w:rsidR="00DC2493" w:rsidRPr="00DC2493" w:rsidRDefault="00DC2493" w:rsidP="00434261">
            <w:pPr>
              <w:jc w:val="right"/>
              <w:rPr>
                <w:rFonts w:eastAsia="Calibri" w:cs="Arial"/>
              </w:rPr>
            </w:pPr>
            <w:r w:rsidRPr="00DC2493">
              <w:rPr>
                <w:rFonts w:eastAsia="Calibri" w:cs="Arial"/>
              </w:rPr>
              <w:t>7,703</w:t>
            </w:r>
          </w:p>
        </w:tc>
        <w:tc>
          <w:tcPr>
            <w:tcW w:w="1386" w:type="dxa"/>
            <w:shd w:val="clear" w:color="auto" w:fill="auto"/>
          </w:tcPr>
          <w:p w14:paraId="0450B0B5" w14:textId="77777777" w:rsidR="00DC2493" w:rsidRPr="00DC2493" w:rsidRDefault="00DC2493" w:rsidP="00434261">
            <w:pPr>
              <w:jc w:val="right"/>
              <w:rPr>
                <w:rFonts w:eastAsia="Calibri" w:cs="Arial"/>
              </w:rPr>
            </w:pPr>
            <w:r w:rsidRPr="00DC2493">
              <w:rPr>
                <w:rFonts w:eastAsia="Calibri" w:cs="Arial"/>
              </w:rPr>
              <w:t>7,703</w:t>
            </w:r>
          </w:p>
        </w:tc>
      </w:tr>
      <w:tr w:rsidR="005C1C45" w:rsidRPr="00DC2493" w14:paraId="44990864" w14:textId="77777777" w:rsidTr="00DC2493">
        <w:trPr>
          <w:trHeight w:val="72"/>
        </w:trPr>
        <w:tc>
          <w:tcPr>
            <w:tcW w:w="3921" w:type="dxa"/>
            <w:shd w:val="clear" w:color="auto" w:fill="FFFF00"/>
          </w:tcPr>
          <w:p w14:paraId="271E00A0" w14:textId="77777777" w:rsidR="005C1C45" w:rsidRPr="00DC2493" w:rsidRDefault="00DC2493" w:rsidP="000F525A">
            <w:pPr>
              <w:rPr>
                <w:rFonts w:eastAsia="Calibri" w:cs="Arial"/>
              </w:rPr>
            </w:pPr>
            <w:r w:rsidRPr="00DC2493">
              <w:rPr>
                <w:rFonts w:eastAsia="Calibri" w:cs="Arial"/>
              </w:rPr>
              <w:t>Total</w:t>
            </w:r>
          </w:p>
        </w:tc>
        <w:tc>
          <w:tcPr>
            <w:tcW w:w="1716" w:type="dxa"/>
            <w:shd w:val="clear" w:color="auto" w:fill="auto"/>
          </w:tcPr>
          <w:p w14:paraId="450ABDA3" w14:textId="77777777" w:rsidR="005C1C45" w:rsidRPr="00DC2493" w:rsidRDefault="00E857FF" w:rsidP="00A12587">
            <w:pPr>
              <w:jc w:val="right"/>
              <w:rPr>
                <w:rFonts w:eastAsia="Calibri" w:cs="Arial"/>
                <w:b/>
              </w:rPr>
            </w:pPr>
            <w:r>
              <w:rPr>
                <w:rFonts w:eastAsia="Calibri" w:cs="Arial"/>
                <w:b/>
              </w:rPr>
              <w:t>19,</w:t>
            </w:r>
            <w:r w:rsidR="00A12587">
              <w:rPr>
                <w:rFonts w:eastAsia="Calibri" w:cs="Arial"/>
                <w:b/>
              </w:rPr>
              <w:t>390</w:t>
            </w:r>
          </w:p>
        </w:tc>
        <w:tc>
          <w:tcPr>
            <w:tcW w:w="1494" w:type="dxa"/>
          </w:tcPr>
          <w:p w14:paraId="4819E2F1" w14:textId="77777777" w:rsidR="005C1C45" w:rsidRPr="00DC2493" w:rsidRDefault="00A12587" w:rsidP="001439EB">
            <w:pPr>
              <w:jc w:val="right"/>
              <w:rPr>
                <w:rFonts w:eastAsia="Calibri" w:cs="Arial"/>
                <w:b/>
              </w:rPr>
            </w:pPr>
            <w:r>
              <w:rPr>
                <w:rFonts w:eastAsia="Calibri" w:cs="Arial"/>
                <w:b/>
              </w:rPr>
              <w:t>24,24</w:t>
            </w:r>
            <w:r w:rsidR="00DC2493" w:rsidRPr="00DC2493">
              <w:rPr>
                <w:rFonts w:eastAsia="Calibri" w:cs="Arial"/>
                <w:b/>
              </w:rPr>
              <w:t>6</w:t>
            </w:r>
          </w:p>
        </w:tc>
        <w:tc>
          <w:tcPr>
            <w:tcW w:w="1445" w:type="dxa"/>
            <w:shd w:val="clear" w:color="auto" w:fill="auto"/>
          </w:tcPr>
          <w:p w14:paraId="24241164" w14:textId="77777777" w:rsidR="005C1C45" w:rsidRPr="00DC2493" w:rsidRDefault="00DC2493" w:rsidP="00E857FF">
            <w:pPr>
              <w:jc w:val="right"/>
              <w:rPr>
                <w:rFonts w:eastAsia="Calibri" w:cs="Arial"/>
                <w:b/>
              </w:rPr>
            </w:pPr>
            <w:r w:rsidRPr="00DC2493">
              <w:rPr>
                <w:rFonts w:eastAsia="Calibri" w:cs="Arial"/>
                <w:b/>
              </w:rPr>
              <w:t>1</w:t>
            </w:r>
            <w:r w:rsidR="00E857FF">
              <w:rPr>
                <w:rFonts w:eastAsia="Calibri" w:cs="Arial"/>
                <w:b/>
              </w:rPr>
              <w:t>8</w:t>
            </w:r>
            <w:r w:rsidRPr="00DC2493">
              <w:rPr>
                <w:rFonts w:eastAsia="Calibri" w:cs="Arial"/>
                <w:b/>
              </w:rPr>
              <w:t>,</w:t>
            </w:r>
            <w:r w:rsidR="00E857FF">
              <w:rPr>
                <w:rFonts w:eastAsia="Calibri" w:cs="Arial"/>
                <w:b/>
              </w:rPr>
              <w:t>723</w:t>
            </w:r>
          </w:p>
        </w:tc>
        <w:tc>
          <w:tcPr>
            <w:tcW w:w="1386" w:type="dxa"/>
            <w:shd w:val="clear" w:color="auto" w:fill="auto"/>
          </w:tcPr>
          <w:p w14:paraId="16BBFB01" w14:textId="77777777" w:rsidR="005C1C45" w:rsidRPr="00DC2493" w:rsidRDefault="00DC2493" w:rsidP="001439EB">
            <w:pPr>
              <w:jc w:val="right"/>
              <w:rPr>
                <w:rFonts w:eastAsia="Calibri" w:cs="Arial"/>
                <w:b/>
              </w:rPr>
            </w:pPr>
            <w:r w:rsidRPr="00DC2493">
              <w:rPr>
                <w:rFonts w:eastAsia="Calibri" w:cs="Arial"/>
                <w:b/>
              </w:rPr>
              <w:t>15,747</w:t>
            </w:r>
          </w:p>
        </w:tc>
      </w:tr>
    </w:tbl>
    <w:p w14:paraId="3DE3B28E" w14:textId="77777777" w:rsidR="00255DB0" w:rsidRPr="00DC2493" w:rsidRDefault="00255DB0" w:rsidP="001E14DA">
      <w:pPr>
        <w:ind w:left="567" w:hanging="567"/>
        <w:rPr>
          <w:rFonts w:eastAsia="Calibri" w:cs="Arial"/>
        </w:rPr>
      </w:pPr>
    </w:p>
    <w:p w14:paraId="6345BD56" w14:textId="77777777" w:rsidR="001E14DA" w:rsidRPr="00DC2493" w:rsidRDefault="00390239" w:rsidP="001E14DA">
      <w:pPr>
        <w:ind w:left="567" w:hanging="567"/>
        <w:rPr>
          <w:rFonts w:eastAsia="Calibri" w:cs="Arial"/>
        </w:rPr>
      </w:pPr>
      <w:r>
        <w:rPr>
          <w:rFonts w:eastAsia="Calibri" w:cs="Arial"/>
        </w:rPr>
        <w:t>81</w:t>
      </w:r>
      <w:r w:rsidR="001E14DA" w:rsidRPr="00DC2493">
        <w:rPr>
          <w:rFonts w:eastAsia="Calibri" w:cs="Arial"/>
        </w:rPr>
        <w:tab/>
        <w:t xml:space="preserve">The </w:t>
      </w:r>
      <w:r w:rsidR="004312DC" w:rsidRPr="00DC2493">
        <w:rPr>
          <w:rFonts w:eastAsia="Calibri" w:cs="Arial"/>
        </w:rPr>
        <w:t xml:space="preserve">revised </w:t>
      </w:r>
      <w:r w:rsidR="001E14DA" w:rsidRPr="00DC2493">
        <w:rPr>
          <w:rFonts w:eastAsia="Calibri" w:cs="Arial"/>
        </w:rPr>
        <w:t>programme of £</w:t>
      </w:r>
      <w:r w:rsidR="008C62A9" w:rsidRPr="00DC2493">
        <w:rPr>
          <w:rFonts w:eastAsia="Calibri" w:cs="Arial"/>
        </w:rPr>
        <w:t>7</w:t>
      </w:r>
      <w:r w:rsidR="00A12587">
        <w:rPr>
          <w:rFonts w:eastAsia="Calibri" w:cs="Arial"/>
        </w:rPr>
        <w:t>8</w:t>
      </w:r>
      <w:r w:rsidR="001E14DA" w:rsidRPr="00DC2493">
        <w:rPr>
          <w:rFonts w:eastAsia="Calibri" w:cs="Arial"/>
        </w:rPr>
        <w:t xml:space="preserve"> million over the next </w:t>
      </w:r>
      <w:r w:rsidR="004312DC" w:rsidRPr="00DC2493">
        <w:rPr>
          <w:rFonts w:eastAsia="Calibri" w:cs="Arial"/>
        </w:rPr>
        <w:t>4</w:t>
      </w:r>
      <w:r w:rsidR="001E14DA" w:rsidRPr="00DC2493">
        <w:rPr>
          <w:rFonts w:eastAsia="Calibri" w:cs="Arial"/>
        </w:rPr>
        <w:t xml:space="preserve"> years includes:</w:t>
      </w:r>
    </w:p>
    <w:p w14:paraId="057D7E96" w14:textId="77777777" w:rsidR="001E14DA" w:rsidRPr="00DC2493" w:rsidRDefault="001E14DA" w:rsidP="006C4C35">
      <w:pPr>
        <w:numPr>
          <w:ilvl w:val="0"/>
          <w:numId w:val="7"/>
        </w:numPr>
        <w:ind w:left="851" w:hanging="284"/>
        <w:rPr>
          <w:rFonts w:eastAsia="Calibri" w:cs="Arial"/>
        </w:rPr>
      </w:pPr>
      <w:r w:rsidRPr="00DC2493">
        <w:rPr>
          <w:rFonts w:eastAsia="Calibri" w:cs="Arial"/>
        </w:rPr>
        <w:t xml:space="preserve">    Great Estates enhancement of car parking and other infrastructure £</w:t>
      </w:r>
      <w:r w:rsidR="00DC2493" w:rsidRPr="00DC2493">
        <w:rPr>
          <w:rFonts w:eastAsia="Calibri" w:cs="Arial"/>
        </w:rPr>
        <w:t>3.6</w:t>
      </w:r>
      <w:r w:rsidR="004312DC" w:rsidRPr="00DC2493">
        <w:rPr>
          <w:rFonts w:eastAsia="Calibri" w:cs="Arial"/>
        </w:rPr>
        <w:t xml:space="preserve"> </w:t>
      </w:r>
      <w:r w:rsidRPr="00DC2493">
        <w:rPr>
          <w:rFonts w:eastAsia="Calibri" w:cs="Arial"/>
        </w:rPr>
        <w:t>million</w:t>
      </w:r>
    </w:p>
    <w:p w14:paraId="3A6DFB03" w14:textId="77777777" w:rsidR="004312DC" w:rsidRPr="00DC2493" w:rsidRDefault="004312DC" w:rsidP="006C4C35">
      <w:pPr>
        <w:numPr>
          <w:ilvl w:val="0"/>
          <w:numId w:val="7"/>
        </w:numPr>
        <w:ind w:left="1134" w:hanging="567"/>
        <w:rPr>
          <w:rFonts w:eastAsia="Calibri" w:cs="Arial"/>
        </w:rPr>
      </w:pPr>
      <w:r w:rsidRPr="00DC2493">
        <w:rPr>
          <w:rFonts w:eastAsia="Calibri" w:cs="Arial"/>
        </w:rPr>
        <w:t>Barton Regeneration £</w:t>
      </w:r>
      <w:r w:rsidR="00DC2493" w:rsidRPr="00DC2493">
        <w:rPr>
          <w:rFonts w:eastAsia="Calibri" w:cs="Arial"/>
        </w:rPr>
        <w:t>2.4</w:t>
      </w:r>
      <w:r w:rsidRPr="00DC2493">
        <w:rPr>
          <w:rFonts w:eastAsia="Calibri" w:cs="Arial"/>
        </w:rPr>
        <w:t xml:space="preserve"> million</w:t>
      </w:r>
    </w:p>
    <w:p w14:paraId="2843769C" w14:textId="77777777" w:rsidR="001E14DA" w:rsidRPr="00DC2493" w:rsidRDefault="004312DC" w:rsidP="006C4C35">
      <w:pPr>
        <w:numPr>
          <w:ilvl w:val="0"/>
          <w:numId w:val="7"/>
        </w:numPr>
        <w:tabs>
          <w:tab w:val="left" w:pos="1134"/>
        </w:tabs>
        <w:ind w:left="1134" w:hanging="567"/>
        <w:rPr>
          <w:rFonts w:eastAsia="Calibri" w:cs="Arial"/>
        </w:rPr>
      </w:pPr>
      <w:r w:rsidRPr="00DC2493">
        <w:rPr>
          <w:rFonts w:eastAsia="Calibri" w:cs="Arial"/>
        </w:rPr>
        <w:t xml:space="preserve"> Improvements to doors, windows, controlled entry including the Oxford Standard - £</w:t>
      </w:r>
      <w:r w:rsidR="00DC2493" w:rsidRPr="00DC2493">
        <w:rPr>
          <w:rFonts w:eastAsia="Calibri" w:cs="Arial"/>
        </w:rPr>
        <w:t>3.2</w:t>
      </w:r>
      <w:r w:rsidRPr="00DC2493">
        <w:rPr>
          <w:rFonts w:eastAsia="Calibri" w:cs="Arial"/>
        </w:rPr>
        <w:t xml:space="preserve"> million</w:t>
      </w:r>
    </w:p>
    <w:p w14:paraId="3F2A1451" w14:textId="77777777" w:rsidR="004312DC" w:rsidRPr="007D551C" w:rsidRDefault="00A83443" w:rsidP="006C4C35">
      <w:pPr>
        <w:numPr>
          <w:ilvl w:val="0"/>
          <w:numId w:val="7"/>
        </w:numPr>
        <w:ind w:left="1134" w:hanging="567"/>
        <w:rPr>
          <w:rFonts w:eastAsia="Calibri" w:cs="Arial"/>
        </w:rPr>
      </w:pPr>
      <w:r w:rsidRPr="007D551C">
        <w:rPr>
          <w:rFonts w:eastAsia="Calibri" w:cs="Arial"/>
        </w:rPr>
        <w:t>Replacements</w:t>
      </w:r>
      <w:r w:rsidR="004312DC" w:rsidRPr="007D551C">
        <w:rPr>
          <w:rFonts w:eastAsia="Calibri" w:cs="Arial"/>
        </w:rPr>
        <w:t xml:space="preserve"> </w:t>
      </w:r>
      <w:r w:rsidRPr="007D551C">
        <w:rPr>
          <w:rFonts w:eastAsia="Calibri" w:cs="Arial"/>
        </w:rPr>
        <w:t>of</w:t>
      </w:r>
      <w:r w:rsidR="004312DC" w:rsidRPr="007D551C">
        <w:rPr>
          <w:rFonts w:eastAsia="Calibri" w:cs="Arial"/>
        </w:rPr>
        <w:t xml:space="preserve"> kitchens, bathrooms, roofs</w:t>
      </w:r>
      <w:r w:rsidR="00355759" w:rsidRPr="007D551C">
        <w:rPr>
          <w:rFonts w:eastAsia="Calibri" w:cs="Arial"/>
        </w:rPr>
        <w:t>, heating and electrics -£</w:t>
      </w:r>
      <w:r w:rsidR="00DC2493" w:rsidRPr="007D551C">
        <w:rPr>
          <w:rFonts w:eastAsia="Calibri" w:cs="Arial"/>
        </w:rPr>
        <w:t>21.2</w:t>
      </w:r>
      <w:r w:rsidR="00355759" w:rsidRPr="007D551C">
        <w:rPr>
          <w:rFonts w:eastAsia="Calibri" w:cs="Arial"/>
        </w:rPr>
        <w:t xml:space="preserve"> million</w:t>
      </w:r>
    </w:p>
    <w:p w14:paraId="4C5A3281" w14:textId="77777777" w:rsidR="00355759" w:rsidRDefault="00355759" w:rsidP="006C4C35">
      <w:pPr>
        <w:numPr>
          <w:ilvl w:val="0"/>
          <w:numId w:val="7"/>
        </w:numPr>
        <w:ind w:left="1134" w:hanging="567"/>
        <w:rPr>
          <w:rFonts w:eastAsia="Calibri" w:cs="Arial"/>
        </w:rPr>
      </w:pPr>
      <w:r w:rsidRPr="007D551C">
        <w:rPr>
          <w:rFonts w:eastAsia="Calibri" w:cs="Arial"/>
        </w:rPr>
        <w:t>Blackbird Leys Regener</w:t>
      </w:r>
      <w:r w:rsidR="008B57BB" w:rsidRPr="007D551C">
        <w:rPr>
          <w:rFonts w:eastAsia="Calibri" w:cs="Arial"/>
        </w:rPr>
        <w:t>ation - £</w:t>
      </w:r>
      <w:r w:rsidR="00E857FF" w:rsidRPr="007D551C">
        <w:rPr>
          <w:rFonts w:eastAsia="Calibri" w:cs="Arial"/>
        </w:rPr>
        <w:t>5.4</w:t>
      </w:r>
      <w:r w:rsidR="008B57BB" w:rsidRPr="007D551C">
        <w:rPr>
          <w:rFonts w:eastAsia="Calibri" w:cs="Arial"/>
        </w:rPr>
        <w:t xml:space="preserve"> million – to undertake </w:t>
      </w:r>
      <w:r w:rsidR="00803544" w:rsidRPr="007D551C">
        <w:rPr>
          <w:rFonts w:eastAsia="Calibri" w:cs="Arial"/>
        </w:rPr>
        <w:t xml:space="preserve">regeneration at the </w:t>
      </w:r>
      <w:r w:rsidR="009E1C3C" w:rsidRPr="007D551C">
        <w:rPr>
          <w:rFonts w:eastAsia="Calibri" w:cs="Arial"/>
        </w:rPr>
        <w:t xml:space="preserve">   </w:t>
      </w:r>
      <w:r w:rsidR="00803544" w:rsidRPr="007D551C">
        <w:rPr>
          <w:rFonts w:eastAsia="Calibri" w:cs="Arial"/>
        </w:rPr>
        <w:t>heart of the estate</w:t>
      </w:r>
    </w:p>
    <w:p w14:paraId="3B5058DA" w14:textId="77777777" w:rsidR="00A32C96" w:rsidRDefault="00A32C96" w:rsidP="00A32C96">
      <w:pPr>
        <w:numPr>
          <w:ilvl w:val="0"/>
          <w:numId w:val="7"/>
        </w:numPr>
        <w:ind w:left="1134" w:hanging="567"/>
        <w:rPr>
          <w:rFonts w:eastAsia="Calibri" w:cs="Arial"/>
        </w:rPr>
      </w:pPr>
      <w:r>
        <w:rPr>
          <w:rFonts w:eastAsia="Calibri" w:cs="Arial"/>
        </w:rPr>
        <w:t xml:space="preserve">New Build housing  </w:t>
      </w:r>
      <w:r w:rsidR="00A12587">
        <w:rPr>
          <w:rFonts w:eastAsia="Calibri" w:cs="Arial"/>
        </w:rPr>
        <w:t>at</w:t>
      </w:r>
      <w:r>
        <w:rPr>
          <w:rFonts w:eastAsia="Calibri" w:cs="Arial"/>
        </w:rPr>
        <w:t xml:space="preserve"> Bracegirdle and Salford Rd and the East Oxford site </w:t>
      </w:r>
    </w:p>
    <w:p w14:paraId="146D82CF" w14:textId="77777777" w:rsidR="0046640C" w:rsidRPr="007D551C" w:rsidRDefault="0046640C" w:rsidP="00A32C96">
      <w:pPr>
        <w:numPr>
          <w:ilvl w:val="0"/>
          <w:numId w:val="7"/>
        </w:numPr>
        <w:ind w:left="1134" w:hanging="567"/>
        <w:rPr>
          <w:rFonts w:eastAsia="Calibri" w:cs="Arial"/>
        </w:rPr>
      </w:pPr>
      <w:r>
        <w:rPr>
          <w:rFonts w:eastAsia="Calibri" w:cs="Arial"/>
        </w:rPr>
        <w:t>Purchase land or property for development - £1million</w:t>
      </w:r>
    </w:p>
    <w:p w14:paraId="483FE9FC" w14:textId="77777777" w:rsidR="001E14DA" w:rsidRPr="00EE6A4D" w:rsidRDefault="005806AE" w:rsidP="0009616E">
      <w:pPr>
        <w:numPr>
          <w:ilvl w:val="0"/>
          <w:numId w:val="7"/>
        </w:numPr>
        <w:ind w:left="1134" w:hanging="567"/>
        <w:rPr>
          <w:rFonts w:eastAsia="Calibri" w:cs="Arial"/>
          <w:b/>
        </w:rPr>
      </w:pPr>
      <w:r w:rsidRPr="00EE6A4D">
        <w:rPr>
          <w:rFonts w:eastAsia="Calibri" w:cs="Arial"/>
        </w:rPr>
        <w:t>A contingency of £</w:t>
      </w:r>
      <w:r w:rsidR="008B57BB" w:rsidRPr="00EE6A4D">
        <w:rPr>
          <w:rFonts w:eastAsia="Calibri" w:cs="Arial"/>
        </w:rPr>
        <w:t>2</w:t>
      </w:r>
      <w:r w:rsidR="002977AD" w:rsidRPr="00EE6A4D">
        <w:rPr>
          <w:rFonts w:eastAsia="Calibri" w:cs="Arial"/>
        </w:rPr>
        <w:t>3</w:t>
      </w:r>
      <w:r w:rsidR="008B57BB" w:rsidRPr="00EE6A4D">
        <w:rPr>
          <w:rFonts w:eastAsia="Calibri" w:cs="Arial"/>
        </w:rPr>
        <w:t>.</w:t>
      </w:r>
      <w:r w:rsidR="002977AD" w:rsidRPr="00EE6A4D">
        <w:rPr>
          <w:rFonts w:eastAsia="Calibri" w:cs="Arial"/>
        </w:rPr>
        <w:t>1</w:t>
      </w:r>
      <w:r w:rsidRPr="00EE6A4D">
        <w:rPr>
          <w:rFonts w:eastAsia="Calibri" w:cs="Arial"/>
        </w:rPr>
        <w:t xml:space="preserve"> million</w:t>
      </w:r>
      <w:r w:rsidR="00535EB4" w:rsidRPr="00EE6A4D">
        <w:rPr>
          <w:rFonts w:eastAsia="Calibri" w:cs="Arial"/>
        </w:rPr>
        <w:t xml:space="preserve"> </w:t>
      </w:r>
      <w:r w:rsidRPr="00EE6A4D">
        <w:rPr>
          <w:rFonts w:eastAsia="Calibri" w:cs="Arial"/>
        </w:rPr>
        <w:t>to mitigate the potential financial effect of the Government</w:t>
      </w:r>
      <w:r w:rsidR="00BA268D" w:rsidRPr="00EE6A4D">
        <w:rPr>
          <w:rFonts w:eastAsia="Calibri" w:cs="Arial"/>
        </w:rPr>
        <w:t>’</w:t>
      </w:r>
      <w:r w:rsidRPr="00EE6A4D">
        <w:rPr>
          <w:rFonts w:eastAsia="Calibri" w:cs="Arial"/>
        </w:rPr>
        <w:t>s initiatives around High Value Council Housing</w:t>
      </w:r>
      <w:r w:rsidR="008C62A9" w:rsidRPr="00EE6A4D">
        <w:rPr>
          <w:rFonts w:eastAsia="Calibri" w:cs="Arial"/>
        </w:rPr>
        <w:t xml:space="preserve"> </w:t>
      </w:r>
      <w:r w:rsidR="008B57BB" w:rsidRPr="00EE6A4D">
        <w:rPr>
          <w:rFonts w:eastAsia="Calibri" w:cs="Arial"/>
        </w:rPr>
        <w:t>in lieu of selling high value council housing</w:t>
      </w:r>
      <w:r w:rsidR="008C62A9" w:rsidRPr="00EE6A4D">
        <w:rPr>
          <w:rFonts w:eastAsia="Calibri" w:cs="Arial"/>
        </w:rPr>
        <w:t xml:space="preserve"> </w:t>
      </w:r>
    </w:p>
    <w:p w14:paraId="57003785" w14:textId="77777777" w:rsidR="00EE6A4D" w:rsidRPr="00EE6A4D" w:rsidRDefault="00EE6A4D" w:rsidP="00EE6A4D">
      <w:pPr>
        <w:ind w:left="1134"/>
        <w:rPr>
          <w:rFonts w:eastAsia="Calibri" w:cs="Arial"/>
          <w:b/>
        </w:rPr>
      </w:pPr>
    </w:p>
    <w:p w14:paraId="3E5ED464" w14:textId="141AE6CF" w:rsidR="00A12587" w:rsidRDefault="00D728FF" w:rsidP="00885EDB">
      <w:pPr>
        <w:ind w:left="567" w:hanging="567"/>
        <w:rPr>
          <w:rFonts w:eastAsia="Calibri" w:cs="Arial"/>
        </w:rPr>
      </w:pPr>
      <w:r>
        <w:rPr>
          <w:rFonts w:eastAsia="Calibri" w:cs="Arial"/>
        </w:rPr>
        <w:t>8</w:t>
      </w:r>
      <w:r w:rsidR="00390239">
        <w:rPr>
          <w:rFonts w:eastAsia="Calibri" w:cs="Arial"/>
        </w:rPr>
        <w:t>2</w:t>
      </w:r>
      <w:r w:rsidR="001439EB" w:rsidRPr="007704A0">
        <w:rPr>
          <w:rFonts w:eastAsia="Calibri" w:cs="Arial"/>
        </w:rPr>
        <w:tab/>
      </w:r>
      <w:r w:rsidR="0046640C">
        <w:rPr>
          <w:rFonts w:eastAsia="Calibri" w:cs="Arial"/>
        </w:rPr>
        <w:t xml:space="preserve">The Councils is looking to </w:t>
      </w:r>
      <w:r w:rsidR="00C05030">
        <w:rPr>
          <w:rFonts w:eastAsia="Calibri" w:cs="Arial"/>
        </w:rPr>
        <w:t>re</w:t>
      </w:r>
      <w:r w:rsidR="0046640C">
        <w:rPr>
          <w:rFonts w:eastAsia="Calibri" w:cs="Arial"/>
        </w:rPr>
        <w:t xml:space="preserve">develop the Community Centre at East Oxford. </w:t>
      </w:r>
      <w:r w:rsidR="00C05030">
        <w:rPr>
          <w:rFonts w:eastAsia="Calibri" w:cs="Arial"/>
        </w:rPr>
        <w:t xml:space="preserve">We now propose to include at least 50% council housing on the three related sites.  The overall cost of the development is £10.6 million; for a scheme where 50% of the units were for market sale, around £8 million would be recouped from sale of private units, but the council retains the option to develop more than 50% for council housing.  </w:t>
      </w:r>
      <w:r w:rsidR="0046640C">
        <w:rPr>
          <w:rFonts w:eastAsia="Calibri" w:cs="Arial"/>
        </w:rPr>
        <w:t xml:space="preserve">The initial spend would be financed from the high value levy of £7.3 million with the balance funded from borrowing. </w:t>
      </w:r>
    </w:p>
    <w:p w14:paraId="5706C975" w14:textId="77777777" w:rsidR="0046640C" w:rsidRDefault="0046640C" w:rsidP="00885EDB">
      <w:pPr>
        <w:ind w:left="567" w:hanging="567"/>
        <w:rPr>
          <w:rFonts w:eastAsia="Calibri" w:cs="Arial"/>
        </w:rPr>
      </w:pPr>
    </w:p>
    <w:p w14:paraId="3A6B7222" w14:textId="2F3D741C" w:rsidR="00B7186A" w:rsidRDefault="00390239" w:rsidP="0046640C">
      <w:pPr>
        <w:ind w:left="567" w:hanging="567"/>
        <w:rPr>
          <w:rFonts w:eastAsia="Calibri" w:cs="Arial"/>
        </w:rPr>
      </w:pPr>
      <w:r>
        <w:rPr>
          <w:rFonts w:eastAsia="Calibri" w:cs="Arial"/>
        </w:rPr>
        <w:t>83</w:t>
      </w:r>
      <w:r w:rsidR="0046640C">
        <w:rPr>
          <w:rFonts w:eastAsia="Calibri" w:cs="Arial"/>
        </w:rPr>
        <w:tab/>
      </w:r>
      <w:r w:rsidR="00C80A54">
        <w:rPr>
          <w:rFonts w:eastAsia="Calibri" w:cs="Arial"/>
        </w:rPr>
        <w:t xml:space="preserve">At City Executive Board in August 2017, it was agreed to increase the budget by £1million to allow for the replacement of rain screen cladding to </w:t>
      </w:r>
      <w:proofErr w:type="spellStart"/>
      <w:r w:rsidR="00C80A54">
        <w:rPr>
          <w:rFonts w:eastAsia="Calibri" w:cs="Arial"/>
        </w:rPr>
        <w:t>Windrush</w:t>
      </w:r>
      <w:proofErr w:type="spellEnd"/>
      <w:r w:rsidR="00C80A54">
        <w:rPr>
          <w:rFonts w:eastAsia="Calibri" w:cs="Arial"/>
        </w:rPr>
        <w:t xml:space="preserve"> and </w:t>
      </w:r>
      <w:proofErr w:type="spellStart"/>
      <w:r w:rsidR="00C80A54">
        <w:rPr>
          <w:rFonts w:eastAsia="Calibri" w:cs="Arial"/>
        </w:rPr>
        <w:t>Evenlode</w:t>
      </w:r>
      <w:proofErr w:type="spellEnd"/>
      <w:r w:rsidR="00C80A54">
        <w:rPr>
          <w:rFonts w:eastAsia="Calibri" w:cs="Arial"/>
        </w:rPr>
        <w:t xml:space="preserve"> Towers. </w:t>
      </w:r>
      <w:r w:rsidR="00B7186A">
        <w:rPr>
          <w:rFonts w:eastAsia="Calibri" w:cs="Arial"/>
        </w:rPr>
        <w:t>Since this decision f</w:t>
      </w:r>
      <w:r w:rsidR="00BC22F6">
        <w:rPr>
          <w:rFonts w:eastAsia="Calibri" w:cs="Arial"/>
        </w:rPr>
        <w:t xml:space="preserve">urther works </w:t>
      </w:r>
      <w:r w:rsidR="00B7186A">
        <w:rPr>
          <w:rFonts w:eastAsia="Calibri" w:cs="Arial"/>
        </w:rPr>
        <w:t xml:space="preserve">and costs are now anticipated </w:t>
      </w:r>
      <w:r w:rsidR="00BC22F6">
        <w:rPr>
          <w:rFonts w:eastAsia="Calibri" w:cs="Arial"/>
        </w:rPr>
        <w:t>in the sum of £</w:t>
      </w:r>
      <w:r w:rsidR="001062B6">
        <w:rPr>
          <w:rFonts w:eastAsia="Calibri" w:cs="Arial"/>
        </w:rPr>
        <w:t>650</w:t>
      </w:r>
      <w:r w:rsidR="00BC22F6">
        <w:rPr>
          <w:rFonts w:eastAsia="Calibri" w:cs="Arial"/>
        </w:rPr>
        <w:t>k</w:t>
      </w:r>
      <w:r w:rsidR="00B7186A">
        <w:rPr>
          <w:rFonts w:eastAsia="Calibri" w:cs="Arial"/>
        </w:rPr>
        <w:t xml:space="preserve"> in respect of:</w:t>
      </w:r>
    </w:p>
    <w:p w14:paraId="47065A04" w14:textId="77777777" w:rsidR="00B7186A" w:rsidRDefault="00B7186A" w:rsidP="0046640C">
      <w:pPr>
        <w:ind w:left="567" w:hanging="567"/>
        <w:rPr>
          <w:rFonts w:eastAsia="Calibri" w:cs="Arial"/>
        </w:rPr>
      </w:pPr>
      <w:bookmarkStart w:id="0" w:name="_GoBack"/>
    </w:p>
    <w:bookmarkEnd w:id="0"/>
    <w:p w14:paraId="59B83939" w14:textId="77777777" w:rsidR="00B7186A" w:rsidRDefault="00C815AD" w:rsidP="00B7186A">
      <w:pPr>
        <w:pStyle w:val="ListParagraph"/>
        <w:numPr>
          <w:ilvl w:val="0"/>
          <w:numId w:val="34"/>
        </w:numPr>
        <w:rPr>
          <w:rFonts w:eastAsia="Calibri" w:cs="Arial"/>
        </w:rPr>
      </w:pPr>
      <w:r>
        <w:rPr>
          <w:rFonts w:eastAsia="Calibri" w:cs="Arial"/>
        </w:rPr>
        <w:t xml:space="preserve">Claims for time delays </w:t>
      </w:r>
      <w:r w:rsidR="00B7186A">
        <w:rPr>
          <w:rFonts w:eastAsia="Calibri" w:cs="Arial"/>
        </w:rPr>
        <w:t>and complications arising from land ownership</w:t>
      </w:r>
    </w:p>
    <w:p w14:paraId="0B781D85" w14:textId="77777777" w:rsidR="00B7186A" w:rsidRPr="00B7186A" w:rsidRDefault="00B7186A" w:rsidP="00B7186A">
      <w:pPr>
        <w:pStyle w:val="ListParagraph"/>
        <w:numPr>
          <w:ilvl w:val="0"/>
          <w:numId w:val="34"/>
        </w:numPr>
        <w:rPr>
          <w:rFonts w:eastAsia="Calibri" w:cs="Arial"/>
        </w:rPr>
      </w:pPr>
      <w:r>
        <w:rPr>
          <w:rFonts w:eastAsia="Calibri" w:cs="Arial"/>
        </w:rPr>
        <w:t xml:space="preserve">Complications and claims for time extensions around the additional works </w:t>
      </w:r>
    </w:p>
    <w:p w14:paraId="1A113AAE" w14:textId="77777777" w:rsidR="00B7186A" w:rsidRDefault="00B7186A" w:rsidP="00B7186A">
      <w:pPr>
        <w:ind w:left="567" w:hanging="567"/>
        <w:rPr>
          <w:rFonts w:eastAsia="Calibri" w:cs="Arial"/>
        </w:rPr>
      </w:pPr>
      <w:r>
        <w:rPr>
          <w:rFonts w:eastAsia="Calibri" w:cs="Arial"/>
        </w:rPr>
        <w:tab/>
      </w:r>
    </w:p>
    <w:p w14:paraId="2204E401" w14:textId="7E0AA4F1" w:rsidR="00BC22F6" w:rsidRDefault="000A112B" w:rsidP="00B7186A">
      <w:pPr>
        <w:ind w:left="567" w:hanging="567"/>
        <w:rPr>
          <w:rFonts w:eastAsia="Calibri" w:cs="Arial"/>
        </w:rPr>
      </w:pPr>
      <w:r>
        <w:rPr>
          <w:rFonts w:eastAsia="Calibri" w:cs="Arial"/>
        </w:rPr>
        <w:t>84</w:t>
      </w:r>
      <w:r w:rsidR="00B7186A">
        <w:rPr>
          <w:rFonts w:eastAsia="Calibri" w:cs="Arial"/>
        </w:rPr>
        <w:tab/>
        <w:t>The Council hopes to recover some of these additional costs from third parties.</w:t>
      </w:r>
    </w:p>
    <w:p w14:paraId="30ABB615" w14:textId="77777777" w:rsidR="007B2768" w:rsidRDefault="00C80A54" w:rsidP="0046640C">
      <w:pPr>
        <w:ind w:left="567" w:hanging="567"/>
        <w:rPr>
          <w:rFonts w:eastAsia="Calibri" w:cs="Arial"/>
        </w:rPr>
      </w:pPr>
      <w:r>
        <w:rPr>
          <w:rFonts w:eastAsia="Calibri" w:cs="Arial"/>
        </w:rPr>
        <w:t xml:space="preserve"> </w:t>
      </w:r>
    </w:p>
    <w:p w14:paraId="4675148D" w14:textId="23F44A3E" w:rsidR="001439EB" w:rsidRPr="007704A0" w:rsidRDefault="000A112B" w:rsidP="0046640C">
      <w:pPr>
        <w:ind w:left="567" w:hanging="567"/>
        <w:rPr>
          <w:rFonts w:eastAsia="Calibri" w:cs="Arial"/>
        </w:rPr>
      </w:pPr>
      <w:r>
        <w:rPr>
          <w:rFonts w:eastAsia="Calibri" w:cs="Arial"/>
        </w:rPr>
        <w:t>85</w:t>
      </w:r>
      <w:r w:rsidR="00BC22F6">
        <w:rPr>
          <w:rFonts w:eastAsia="Calibri" w:cs="Arial"/>
        </w:rPr>
        <w:tab/>
      </w:r>
      <w:r w:rsidR="001439EB" w:rsidRPr="007704A0">
        <w:rPr>
          <w:rFonts w:eastAsia="Calibri" w:cs="Arial"/>
        </w:rPr>
        <w:t xml:space="preserve">The </w:t>
      </w:r>
      <w:r w:rsidR="00803544" w:rsidRPr="007704A0">
        <w:rPr>
          <w:rFonts w:eastAsia="Calibri" w:cs="Arial"/>
        </w:rPr>
        <w:t>f</w:t>
      </w:r>
      <w:r w:rsidR="001439EB" w:rsidRPr="007704A0">
        <w:rPr>
          <w:rFonts w:eastAsia="Calibri" w:cs="Arial"/>
        </w:rPr>
        <w:t xml:space="preserve">inancing of the HRA </w:t>
      </w:r>
      <w:r w:rsidR="00535EB4" w:rsidRPr="007704A0">
        <w:rPr>
          <w:rFonts w:eastAsia="Calibri" w:cs="Arial"/>
        </w:rPr>
        <w:t>Capital Programme</w:t>
      </w:r>
      <w:r w:rsidR="00885EDB" w:rsidRPr="007704A0">
        <w:rPr>
          <w:rFonts w:eastAsia="Calibri" w:cs="Arial"/>
        </w:rPr>
        <w:t xml:space="preserve"> is £</w:t>
      </w:r>
      <w:r w:rsidR="00EA02B1" w:rsidRPr="007704A0">
        <w:rPr>
          <w:rFonts w:eastAsia="Calibri" w:cs="Arial"/>
        </w:rPr>
        <w:t>5</w:t>
      </w:r>
      <w:r w:rsidR="00962A83" w:rsidRPr="007704A0">
        <w:rPr>
          <w:rFonts w:eastAsia="Calibri" w:cs="Arial"/>
        </w:rPr>
        <w:t>3</w:t>
      </w:r>
      <w:r w:rsidR="00EA02B1" w:rsidRPr="007704A0">
        <w:rPr>
          <w:rFonts w:eastAsia="Calibri" w:cs="Arial"/>
        </w:rPr>
        <w:t>.</w:t>
      </w:r>
      <w:r w:rsidR="00962A83" w:rsidRPr="007704A0">
        <w:rPr>
          <w:rFonts w:eastAsia="Calibri" w:cs="Arial"/>
        </w:rPr>
        <w:t>4</w:t>
      </w:r>
      <w:r w:rsidR="00885EDB" w:rsidRPr="007704A0">
        <w:rPr>
          <w:rFonts w:eastAsia="Calibri" w:cs="Arial"/>
        </w:rPr>
        <w:t xml:space="preserve"> million</w:t>
      </w:r>
      <w:r w:rsidR="004C37C3">
        <w:rPr>
          <w:rFonts w:eastAsia="Calibri" w:cs="Arial"/>
        </w:rPr>
        <w:t xml:space="preserve"> from revenue</w:t>
      </w:r>
      <w:r w:rsidR="00EA02B1" w:rsidRPr="007704A0">
        <w:rPr>
          <w:rFonts w:eastAsia="Calibri" w:cs="Arial"/>
        </w:rPr>
        <w:t>,</w:t>
      </w:r>
      <w:r w:rsidR="00885EDB" w:rsidRPr="007704A0">
        <w:rPr>
          <w:rFonts w:eastAsia="Calibri" w:cs="Arial"/>
        </w:rPr>
        <w:t xml:space="preserve"> </w:t>
      </w:r>
      <w:r w:rsidR="00FC2EC9" w:rsidRPr="007704A0">
        <w:rPr>
          <w:rFonts w:eastAsia="Calibri" w:cs="Arial"/>
        </w:rPr>
        <w:t xml:space="preserve">Capital Receipts </w:t>
      </w:r>
      <w:r w:rsidR="00885EDB" w:rsidRPr="007704A0">
        <w:rPr>
          <w:rFonts w:eastAsia="Calibri" w:cs="Arial"/>
        </w:rPr>
        <w:t>£</w:t>
      </w:r>
      <w:r w:rsidR="00EA02B1" w:rsidRPr="007704A0">
        <w:rPr>
          <w:rFonts w:eastAsia="Calibri" w:cs="Arial"/>
        </w:rPr>
        <w:t>9.3 million and borrowing of £1</w:t>
      </w:r>
      <w:r w:rsidR="00962A83" w:rsidRPr="007704A0">
        <w:rPr>
          <w:rFonts w:eastAsia="Calibri" w:cs="Arial"/>
        </w:rPr>
        <w:t>0</w:t>
      </w:r>
      <w:r w:rsidR="00EA02B1" w:rsidRPr="007704A0">
        <w:rPr>
          <w:rFonts w:eastAsia="Calibri" w:cs="Arial"/>
        </w:rPr>
        <w:t xml:space="preserve"> million. </w:t>
      </w:r>
      <w:r w:rsidR="001E3052">
        <w:rPr>
          <w:rFonts w:eastAsia="Calibri" w:cs="Arial"/>
        </w:rPr>
        <w:t>Additional b</w:t>
      </w:r>
      <w:r w:rsidR="00EA02B1" w:rsidRPr="007704A0">
        <w:rPr>
          <w:rFonts w:eastAsia="Calibri" w:cs="Arial"/>
        </w:rPr>
        <w:t xml:space="preserve">orrowing </w:t>
      </w:r>
      <w:r w:rsidR="001E3052">
        <w:rPr>
          <w:rFonts w:eastAsia="Calibri" w:cs="Arial"/>
        </w:rPr>
        <w:t xml:space="preserve">of £18.8 million takes borrowing to </w:t>
      </w:r>
      <w:r w:rsidR="004C37C3">
        <w:rPr>
          <w:rFonts w:eastAsia="Calibri" w:cs="Arial"/>
        </w:rPr>
        <w:t xml:space="preserve">the </w:t>
      </w:r>
      <w:r w:rsidR="001E3052">
        <w:rPr>
          <w:rFonts w:eastAsia="Calibri" w:cs="Arial"/>
        </w:rPr>
        <w:t xml:space="preserve">debt cap of £241 million in 2024-25 which </w:t>
      </w:r>
      <w:r w:rsidR="00EA02B1" w:rsidRPr="007704A0">
        <w:rPr>
          <w:rFonts w:eastAsia="Calibri" w:cs="Arial"/>
        </w:rPr>
        <w:t xml:space="preserve">reduces </w:t>
      </w:r>
      <w:r w:rsidR="001E3052">
        <w:rPr>
          <w:rFonts w:eastAsia="Calibri" w:cs="Arial"/>
        </w:rPr>
        <w:t xml:space="preserve">once this new debt is repaid </w:t>
      </w:r>
      <w:r w:rsidR="00EA02B1" w:rsidRPr="007704A0">
        <w:rPr>
          <w:rFonts w:eastAsia="Calibri" w:cs="Arial"/>
        </w:rPr>
        <w:t xml:space="preserve">by </w:t>
      </w:r>
      <w:r w:rsidR="00962A83" w:rsidRPr="007704A0">
        <w:rPr>
          <w:rFonts w:eastAsia="Calibri" w:cs="Arial"/>
        </w:rPr>
        <w:t>20</w:t>
      </w:r>
      <w:r w:rsidR="001E3052">
        <w:rPr>
          <w:rFonts w:eastAsia="Calibri" w:cs="Arial"/>
        </w:rPr>
        <w:t>30</w:t>
      </w:r>
      <w:r w:rsidR="00962A83" w:rsidRPr="007704A0">
        <w:rPr>
          <w:rFonts w:eastAsia="Calibri" w:cs="Arial"/>
        </w:rPr>
        <w:t>/</w:t>
      </w:r>
      <w:r w:rsidR="001E3052">
        <w:rPr>
          <w:rFonts w:eastAsia="Calibri" w:cs="Arial"/>
        </w:rPr>
        <w:t>31.</w:t>
      </w:r>
    </w:p>
    <w:p w14:paraId="14A245A9" w14:textId="77777777" w:rsidR="004902C0" w:rsidRPr="00894B8A" w:rsidRDefault="001439EB" w:rsidP="001A30D1">
      <w:pPr>
        <w:rPr>
          <w:rFonts w:eastAsia="Calibri" w:cs="Arial"/>
          <w:b/>
          <w:highlight w:val="yellow"/>
        </w:rPr>
      </w:pPr>
      <w:r w:rsidRPr="00894B8A">
        <w:rPr>
          <w:rFonts w:eastAsia="Calibri" w:cs="Arial"/>
          <w:b/>
          <w:highlight w:val="yellow"/>
        </w:rPr>
        <w:t xml:space="preserve"> </w:t>
      </w:r>
    </w:p>
    <w:p w14:paraId="30570F1B" w14:textId="77777777" w:rsidR="003A0255" w:rsidRPr="008D6AFC" w:rsidRDefault="009A6B0F" w:rsidP="008D6AFC">
      <w:pPr>
        <w:spacing w:before="240" w:after="120"/>
        <w:outlineLvl w:val="0"/>
        <w:rPr>
          <w:b/>
          <w:color w:val="000000"/>
          <w:lang w:eastAsia="en-GB"/>
        </w:rPr>
      </w:pPr>
      <w:r w:rsidRPr="008D6AFC">
        <w:rPr>
          <w:b/>
          <w:color w:val="000000"/>
          <w:lang w:eastAsia="en-GB"/>
        </w:rPr>
        <w:t>Risk Implications impacting the Capital Programme</w:t>
      </w:r>
    </w:p>
    <w:p w14:paraId="16EB46D1" w14:textId="0691F399" w:rsidR="009A6B0F" w:rsidRPr="00EA02B1" w:rsidRDefault="00D728FF" w:rsidP="002B7914">
      <w:pPr>
        <w:ind w:left="567" w:right="386" w:hanging="567"/>
        <w:jc w:val="both"/>
      </w:pPr>
      <w:r>
        <w:t>8</w:t>
      </w:r>
      <w:r w:rsidR="000A112B">
        <w:t>6</w:t>
      </w:r>
      <w:r w:rsidR="00401D83" w:rsidRPr="00EA02B1">
        <w:tab/>
      </w:r>
      <w:proofErr w:type="gramStart"/>
      <w:r w:rsidR="009A6B0F" w:rsidRPr="00EA02B1">
        <w:t>The</w:t>
      </w:r>
      <w:proofErr w:type="gramEnd"/>
      <w:r w:rsidR="009A6B0F" w:rsidRPr="00EA02B1">
        <w:t xml:space="preserve"> main risks to the </w:t>
      </w:r>
      <w:r w:rsidR="009E1C3C" w:rsidRPr="00EA02B1">
        <w:t>C</w:t>
      </w:r>
      <w:r w:rsidR="00DF0D5E" w:rsidRPr="00EA02B1">
        <w:t xml:space="preserve">apital Programme are set out in </w:t>
      </w:r>
      <w:r w:rsidR="009A6B0F" w:rsidRPr="00EA02B1">
        <w:t xml:space="preserve">Appendix </w:t>
      </w:r>
      <w:r w:rsidR="0059228F" w:rsidRPr="00EA02B1">
        <w:t>8</w:t>
      </w:r>
      <w:r w:rsidR="009A6B0F" w:rsidRPr="00EA02B1">
        <w:t xml:space="preserve"> </w:t>
      </w:r>
      <w:r w:rsidR="00DF0D5E" w:rsidRPr="00EA02B1">
        <w:t>and summarised below</w:t>
      </w:r>
      <w:r w:rsidR="009A6B0F" w:rsidRPr="00EA02B1">
        <w:t>:</w:t>
      </w:r>
    </w:p>
    <w:p w14:paraId="5B0888C1" w14:textId="77777777" w:rsidR="009A6B0F" w:rsidRPr="00EA02B1" w:rsidRDefault="009A6B0F" w:rsidP="009A6B0F">
      <w:pPr>
        <w:ind w:left="1440" w:right="386"/>
        <w:jc w:val="both"/>
      </w:pPr>
    </w:p>
    <w:p w14:paraId="7173433B" w14:textId="77777777" w:rsidR="009A6B0F" w:rsidRPr="00EA02B1" w:rsidRDefault="009A6B0F" w:rsidP="00302C27">
      <w:pPr>
        <w:numPr>
          <w:ilvl w:val="0"/>
          <w:numId w:val="5"/>
        </w:numPr>
        <w:tabs>
          <w:tab w:val="clear" w:pos="1495"/>
          <w:tab w:val="num" w:pos="851"/>
        </w:tabs>
        <w:ind w:left="851" w:right="386" w:hanging="284"/>
        <w:jc w:val="both"/>
      </w:pPr>
      <w:r w:rsidRPr="00EA02B1">
        <w:t>Disposals</w:t>
      </w:r>
      <w:r w:rsidR="00DF0D5E" w:rsidRPr="00EA02B1">
        <w:t xml:space="preserve"> as detailed before are</w:t>
      </w:r>
      <w:r w:rsidRPr="00EA02B1">
        <w:t xml:space="preserve"> not secured causing a shortfall in funding of schemes</w:t>
      </w:r>
    </w:p>
    <w:p w14:paraId="6DE71695" w14:textId="77777777" w:rsidR="00865A2B" w:rsidRPr="00EA02B1" w:rsidRDefault="00865A2B" w:rsidP="00302C27">
      <w:pPr>
        <w:numPr>
          <w:ilvl w:val="0"/>
          <w:numId w:val="5"/>
        </w:numPr>
        <w:tabs>
          <w:tab w:val="clear" w:pos="1495"/>
          <w:tab w:val="num" w:pos="851"/>
        </w:tabs>
        <w:ind w:left="851" w:right="386" w:hanging="284"/>
        <w:jc w:val="both"/>
      </w:pPr>
      <w:r w:rsidRPr="00EA02B1">
        <w:t>Estimate for payment to Government in respect of HVCH is insufficient</w:t>
      </w:r>
    </w:p>
    <w:p w14:paraId="555A3E8D" w14:textId="77777777" w:rsidR="009A6B0F" w:rsidRPr="00EA02B1" w:rsidRDefault="009A6B0F" w:rsidP="00302C27">
      <w:pPr>
        <w:numPr>
          <w:ilvl w:val="0"/>
          <w:numId w:val="5"/>
        </w:numPr>
        <w:tabs>
          <w:tab w:val="clear" w:pos="1495"/>
          <w:tab w:val="num" w:pos="851"/>
        </w:tabs>
        <w:ind w:left="851" w:right="386" w:hanging="284"/>
        <w:jc w:val="both"/>
      </w:pPr>
      <w:r w:rsidRPr="00EA02B1">
        <w:t xml:space="preserve">Slippage in </w:t>
      </w:r>
      <w:r w:rsidR="00DF0D5E" w:rsidRPr="00EA02B1">
        <w:t>C</w:t>
      </w:r>
      <w:r w:rsidRPr="00EA02B1">
        <w:t xml:space="preserve">apital </w:t>
      </w:r>
      <w:r w:rsidR="00DF0D5E" w:rsidRPr="00EA02B1">
        <w:t>P</w:t>
      </w:r>
      <w:r w:rsidRPr="00EA02B1">
        <w:t xml:space="preserve">rogramme and impact on </w:t>
      </w:r>
      <w:r w:rsidR="00E34F9A" w:rsidRPr="00EA02B1">
        <w:t>delivery of priorities</w:t>
      </w:r>
    </w:p>
    <w:p w14:paraId="021E7AC6" w14:textId="77777777" w:rsidR="009A6B0F" w:rsidRPr="00EA02B1" w:rsidRDefault="009A6B0F" w:rsidP="00302C27">
      <w:pPr>
        <w:numPr>
          <w:ilvl w:val="0"/>
          <w:numId w:val="5"/>
        </w:numPr>
        <w:tabs>
          <w:tab w:val="clear" w:pos="1495"/>
          <w:tab w:val="num" w:pos="851"/>
        </w:tabs>
        <w:ind w:left="851" w:right="386" w:hanging="284"/>
        <w:jc w:val="both"/>
      </w:pPr>
      <w:r w:rsidRPr="00EA02B1">
        <w:t>Robustness of estimates</w:t>
      </w:r>
    </w:p>
    <w:p w14:paraId="66589F58" w14:textId="77777777" w:rsidR="001A54CF" w:rsidRPr="00894B8A" w:rsidRDefault="001A54CF" w:rsidP="007C20F4">
      <w:pPr>
        <w:ind w:right="386" w:firstLine="540"/>
        <w:jc w:val="both"/>
        <w:rPr>
          <w:b/>
          <w:highlight w:val="yellow"/>
        </w:rPr>
      </w:pPr>
    </w:p>
    <w:p w14:paraId="40C006E2" w14:textId="69F6C717" w:rsidR="00E66B72" w:rsidRPr="008D6AFC" w:rsidRDefault="00E66B72" w:rsidP="008D6AFC">
      <w:pPr>
        <w:spacing w:before="240" w:after="120"/>
        <w:outlineLvl w:val="0"/>
        <w:rPr>
          <w:b/>
          <w:color w:val="000000"/>
          <w:lang w:eastAsia="en-GB"/>
        </w:rPr>
      </w:pPr>
      <w:r w:rsidRPr="008D6AFC">
        <w:rPr>
          <w:b/>
          <w:color w:val="000000"/>
          <w:lang w:eastAsia="en-GB"/>
        </w:rPr>
        <w:t>Budget next steps</w:t>
      </w:r>
    </w:p>
    <w:p w14:paraId="21D4EA24" w14:textId="7957FCED" w:rsidR="00DE3FBB" w:rsidRDefault="00D728FF" w:rsidP="005A6CB9">
      <w:pPr>
        <w:ind w:left="567" w:right="386" w:hanging="567"/>
        <w:jc w:val="both"/>
      </w:pPr>
      <w:r>
        <w:t>8</w:t>
      </w:r>
      <w:r w:rsidR="000A112B">
        <w:t>7</w:t>
      </w:r>
      <w:r w:rsidR="0098663E" w:rsidRPr="00E5571F">
        <w:tab/>
      </w:r>
      <w:r w:rsidR="00E66B72" w:rsidRPr="00E5571F">
        <w:t>The timetable for consultation and for Budget approval by Council is set out in the following table:</w:t>
      </w:r>
    </w:p>
    <w:p w14:paraId="002718FC" w14:textId="77777777" w:rsidR="00390239" w:rsidRPr="00E5571F" w:rsidRDefault="00390239" w:rsidP="005A6CB9">
      <w:pPr>
        <w:ind w:left="567" w:right="386" w:hanging="567"/>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2"/>
        <w:gridCol w:w="2369"/>
      </w:tblGrid>
      <w:tr w:rsidR="00B47C41" w:rsidRPr="00E5571F" w14:paraId="5D4E8CA9" w14:textId="77777777" w:rsidTr="002B7914">
        <w:tc>
          <w:tcPr>
            <w:tcW w:w="8933" w:type="dxa"/>
            <w:gridSpan w:val="2"/>
            <w:shd w:val="clear" w:color="auto" w:fill="auto"/>
          </w:tcPr>
          <w:p w14:paraId="76F62DF8" w14:textId="77777777" w:rsidR="00B47C41" w:rsidRPr="00E5571F" w:rsidRDefault="00B47C41" w:rsidP="008E66A7">
            <w:pPr>
              <w:ind w:right="386"/>
              <w:rPr>
                <w:b/>
              </w:rPr>
            </w:pPr>
            <w:r w:rsidRPr="00E5571F">
              <w:rPr>
                <w:b/>
              </w:rPr>
              <w:t xml:space="preserve">Table </w:t>
            </w:r>
            <w:r w:rsidR="00165A9E" w:rsidRPr="00E5571F">
              <w:rPr>
                <w:b/>
              </w:rPr>
              <w:t>1</w:t>
            </w:r>
            <w:r w:rsidR="008E66A7">
              <w:rPr>
                <w:b/>
              </w:rPr>
              <w:t>3</w:t>
            </w:r>
            <w:r w:rsidRPr="00E5571F">
              <w:rPr>
                <w:b/>
              </w:rPr>
              <w:t xml:space="preserve"> Budget Consultation Timetable</w:t>
            </w:r>
          </w:p>
        </w:tc>
      </w:tr>
      <w:tr w:rsidR="002B3BBA" w:rsidRPr="00E5571F" w14:paraId="17FFC071" w14:textId="77777777" w:rsidTr="002B7914">
        <w:tc>
          <w:tcPr>
            <w:tcW w:w="6521" w:type="dxa"/>
          </w:tcPr>
          <w:p w14:paraId="29772A81" w14:textId="77777777" w:rsidR="002B3BBA" w:rsidRPr="00E5571F" w:rsidRDefault="002B3BBA" w:rsidP="00E444D2">
            <w:pPr>
              <w:ind w:right="386"/>
              <w:jc w:val="both"/>
            </w:pPr>
            <w:r w:rsidRPr="00E5571F">
              <w:t>Consultation Budget Report to CEB</w:t>
            </w:r>
          </w:p>
        </w:tc>
        <w:tc>
          <w:tcPr>
            <w:tcW w:w="2412" w:type="dxa"/>
          </w:tcPr>
          <w:p w14:paraId="5BA65B0C" w14:textId="77777777" w:rsidR="002B3BBA" w:rsidRPr="00E5571F" w:rsidRDefault="00E5571F" w:rsidP="00F96498">
            <w:pPr>
              <w:ind w:right="386"/>
            </w:pPr>
            <w:r w:rsidRPr="00E5571F">
              <w:t>20th</w:t>
            </w:r>
            <w:r w:rsidR="002B3BBA" w:rsidRPr="00E5571F">
              <w:t xml:space="preserve"> December </w:t>
            </w:r>
          </w:p>
        </w:tc>
      </w:tr>
      <w:tr w:rsidR="002B3BBA" w:rsidRPr="00E5571F" w14:paraId="3F7B9C03" w14:textId="77777777" w:rsidTr="002B7914">
        <w:tc>
          <w:tcPr>
            <w:tcW w:w="6521" w:type="dxa"/>
          </w:tcPr>
          <w:p w14:paraId="498663CD" w14:textId="77777777" w:rsidR="002B3BBA" w:rsidRPr="00E5571F" w:rsidRDefault="002B3BBA" w:rsidP="00E444D2">
            <w:pPr>
              <w:ind w:right="386"/>
              <w:jc w:val="both"/>
            </w:pPr>
            <w:r w:rsidRPr="00E5571F">
              <w:t>Budget Consultation Period</w:t>
            </w:r>
          </w:p>
        </w:tc>
        <w:tc>
          <w:tcPr>
            <w:tcW w:w="2412" w:type="dxa"/>
          </w:tcPr>
          <w:p w14:paraId="43AF8484" w14:textId="77777777" w:rsidR="002B3BBA" w:rsidRPr="00E5571F" w:rsidRDefault="00E5571F" w:rsidP="00E5571F">
            <w:pPr>
              <w:ind w:right="386"/>
            </w:pPr>
            <w:r w:rsidRPr="00E5571F">
              <w:t>21st</w:t>
            </w:r>
            <w:r w:rsidR="0069562D" w:rsidRPr="00E5571F">
              <w:t xml:space="preserve"> </w:t>
            </w:r>
            <w:r w:rsidR="002B3BBA" w:rsidRPr="00E5571F">
              <w:t>December to January 201</w:t>
            </w:r>
            <w:r w:rsidRPr="00E5571F">
              <w:t>8</w:t>
            </w:r>
          </w:p>
        </w:tc>
      </w:tr>
      <w:tr w:rsidR="002B3BBA" w:rsidRPr="00E5571F" w14:paraId="2CACC165" w14:textId="77777777" w:rsidTr="002B7914">
        <w:tc>
          <w:tcPr>
            <w:tcW w:w="6521" w:type="dxa"/>
          </w:tcPr>
          <w:p w14:paraId="041CF3B0" w14:textId="77777777" w:rsidR="002B3BBA" w:rsidRPr="00E5571F" w:rsidRDefault="002B3BBA" w:rsidP="00E444D2">
            <w:pPr>
              <w:ind w:right="386"/>
              <w:jc w:val="both"/>
            </w:pPr>
            <w:r w:rsidRPr="00E5571F">
              <w:t xml:space="preserve">Final Budget Report to CEB including </w:t>
            </w:r>
            <w:r w:rsidR="00506E70" w:rsidRPr="00E5571F">
              <w:t>outcome of Consultation</w:t>
            </w:r>
          </w:p>
        </w:tc>
        <w:tc>
          <w:tcPr>
            <w:tcW w:w="2412" w:type="dxa"/>
          </w:tcPr>
          <w:p w14:paraId="65BD5D2F" w14:textId="77777777" w:rsidR="002B3BBA" w:rsidRPr="00E5571F" w:rsidRDefault="00E5571F" w:rsidP="00E5571F">
            <w:pPr>
              <w:ind w:right="386"/>
            </w:pPr>
            <w:r w:rsidRPr="00E5571F">
              <w:t>13</w:t>
            </w:r>
            <w:r w:rsidR="00F96498" w:rsidRPr="00E5571F">
              <w:t>th</w:t>
            </w:r>
            <w:r w:rsidR="0069562D" w:rsidRPr="00E5571F">
              <w:t xml:space="preserve"> February 201</w:t>
            </w:r>
            <w:r w:rsidRPr="00E5571F">
              <w:t>8</w:t>
            </w:r>
          </w:p>
        </w:tc>
      </w:tr>
      <w:tr w:rsidR="002B3BBA" w:rsidRPr="00E5571F" w14:paraId="46CAE5F7" w14:textId="77777777" w:rsidTr="002B7914">
        <w:tc>
          <w:tcPr>
            <w:tcW w:w="6521" w:type="dxa"/>
          </w:tcPr>
          <w:p w14:paraId="7A841A0D" w14:textId="77777777" w:rsidR="002B3BBA" w:rsidRPr="00E5571F" w:rsidRDefault="002B3BBA" w:rsidP="00E444D2">
            <w:pPr>
              <w:ind w:right="386"/>
              <w:jc w:val="both"/>
            </w:pPr>
            <w:r w:rsidRPr="00E5571F">
              <w:t>Budget approval and Council Tax Setting</w:t>
            </w:r>
          </w:p>
        </w:tc>
        <w:tc>
          <w:tcPr>
            <w:tcW w:w="2412" w:type="dxa"/>
          </w:tcPr>
          <w:p w14:paraId="38E8672C" w14:textId="77777777" w:rsidR="002B3BBA" w:rsidRPr="00E5571F" w:rsidRDefault="00E5571F" w:rsidP="00E5571F">
            <w:pPr>
              <w:ind w:right="386"/>
            </w:pPr>
            <w:r w:rsidRPr="00E5571F">
              <w:t>19</w:t>
            </w:r>
            <w:r w:rsidR="00E70508" w:rsidRPr="00E5571F">
              <w:t>th</w:t>
            </w:r>
            <w:r w:rsidR="002B3BBA" w:rsidRPr="00E5571F">
              <w:t xml:space="preserve"> Febru</w:t>
            </w:r>
            <w:r w:rsidR="00E83500" w:rsidRPr="00E5571F">
              <w:t>a</w:t>
            </w:r>
            <w:r w:rsidR="002B3BBA" w:rsidRPr="00E5571F">
              <w:t>ry 201</w:t>
            </w:r>
            <w:r w:rsidRPr="00E5571F">
              <w:t>8</w:t>
            </w:r>
          </w:p>
        </w:tc>
      </w:tr>
    </w:tbl>
    <w:p w14:paraId="70E50C8B" w14:textId="77777777" w:rsidR="002B3BBA" w:rsidRPr="00E5571F" w:rsidRDefault="002B3BBA" w:rsidP="003A0255">
      <w:pPr>
        <w:ind w:left="720" w:right="386"/>
        <w:jc w:val="both"/>
      </w:pPr>
    </w:p>
    <w:p w14:paraId="1E1F2C35" w14:textId="6BF8C82B" w:rsidR="00815874" w:rsidRPr="00E5571F" w:rsidRDefault="00D728FF" w:rsidP="002B7914">
      <w:pPr>
        <w:ind w:left="567" w:right="386" w:hanging="567"/>
      </w:pPr>
      <w:r>
        <w:t>8</w:t>
      </w:r>
      <w:r w:rsidR="000A112B">
        <w:t>8</w:t>
      </w:r>
      <w:r w:rsidR="00E25427" w:rsidRPr="00E5571F">
        <w:tab/>
      </w:r>
      <w:r w:rsidR="00815874" w:rsidRPr="00E5571F">
        <w:t>The budget consultation exercise will commence in December 201</w:t>
      </w:r>
      <w:r w:rsidR="00E5571F" w:rsidRPr="00E5571F">
        <w:t>7</w:t>
      </w:r>
      <w:r w:rsidR="00815874" w:rsidRPr="00E5571F">
        <w:t xml:space="preserve"> and involve an online survey. The outcome of the consultation process will be reported to CEB in February 201</w:t>
      </w:r>
      <w:r w:rsidR="00E5571F" w:rsidRPr="00E5571F">
        <w:t>8</w:t>
      </w:r>
      <w:r w:rsidR="00815874" w:rsidRPr="00E5571F">
        <w:t>, together with the outcome of the final settlement determination</w:t>
      </w:r>
    </w:p>
    <w:p w14:paraId="2CEF9C89" w14:textId="77777777" w:rsidR="00815874" w:rsidRPr="00E5571F" w:rsidRDefault="00815874" w:rsidP="002B7914">
      <w:pPr>
        <w:ind w:left="567" w:right="386" w:hanging="567"/>
        <w:rPr>
          <w:b/>
          <w:sz w:val="28"/>
          <w:szCs w:val="28"/>
        </w:rPr>
      </w:pPr>
    </w:p>
    <w:p w14:paraId="7AC1A4D1" w14:textId="07345B85" w:rsidR="002B3BBA" w:rsidRPr="008D6AFC" w:rsidRDefault="00D728FF" w:rsidP="008D6AFC">
      <w:pPr>
        <w:ind w:left="567" w:hanging="567"/>
        <w:rPr>
          <w:rFonts w:ascii="Times New Roman" w:hAnsi="Times New Roman"/>
          <w:lang w:eastAsia="en-GB"/>
        </w:rPr>
      </w:pPr>
      <w:r>
        <w:t>8</w:t>
      </w:r>
      <w:r w:rsidR="000A112B">
        <w:t>9</w:t>
      </w:r>
      <w:r w:rsidR="00E25427" w:rsidRPr="00E5571F">
        <w:tab/>
      </w:r>
      <w:r w:rsidR="00DF0D5E" w:rsidRPr="00E5571F">
        <w:t>T</w:t>
      </w:r>
      <w:r w:rsidR="00902E5A" w:rsidRPr="00E5571F">
        <w:t>enant</w:t>
      </w:r>
      <w:r w:rsidR="00DF0D5E" w:rsidRPr="00E5571F">
        <w:t>s</w:t>
      </w:r>
      <w:r w:rsidR="00902E5A" w:rsidRPr="00E5571F">
        <w:t xml:space="preserve"> </w:t>
      </w:r>
      <w:r w:rsidR="00DF0D5E" w:rsidRPr="00E5571F">
        <w:t>will be consulted on</w:t>
      </w:r>
      <w:r w:rsidR="00902E5A" w:rsidRPr="00E5571F">
        <w:t xml:space="preserve"> the </w:t>
      </w:r>
      <w:r w:rsidR="00902E5A" w:rsidRPr="00E5571F">
        <w:rPr>
          <w:rFonts w:cs="Arial"/>
          <w:lang w:eastAsia="en-GB"/>
        </w:rPr>
        <w:t xml:space="preserve">HRA budget </w:t>
      </w:r>
      <w:r w:rsidR="00BC5A4B" w:rsidRPr="00E5571F">
        <w:rPr>
          <w:rFonts w:cs="Arial"/>
          <w:lang w:eastAsia="en-GB"/>
        </w:rPr>
        <w:t xml:space="preserve">including </w:t>
      </w:r>
      <w:r w:rsidR="00902E5A" w:rsidRPr="00E5571F">
        <w:rPr>
          <w:rFonts w:cs="Arial"/>
          <w:lang w:eastAsia="en-GB"/>
        </w:rPr>
        <w:t>rent and service charge changes with a special resident focus group(s) and the tenant newsletter 'Tenants in Touch'.</w:t>
      </w:r>
    </w:p>
    <w:p w14:paraId="71DCEBF8" w14:textId="6C2CA149" w:rsidR="002B3BBA" w:rsidRPr="008D6AFC" w:rsidRDefault="00506E70" w:rsidP="008D6AFC">
      <w:pPr>
        <w:spacing w:before="240" w:after="120"/>
        <w:outlineLvl w:val="0"/>
        <w:rPr>
          <w:b/>
          <w:color w:val="000000"/>
          <w:lang w:eastAsia="en-GB"/>
        </w:rPr>
      </w:pPr>
      <w:r w:rsidRPr="008D6AFC">
        <w:rPr>
          <w:b/>
          <w:color w:val="000000"/>
          <w:lang w:eastAsia="en-GB"/>
        </w:rPr>
        <w:t>Financial Implications</w:t>
      </w:r>
    </w:p>
    <w:p w14:paraId="435587A6" w14:textId="749C50B0" w:rsidR="00506E70" w:rsidRPr="00E5571F" w:rsidRDefault="000A112B" w:rsidP="000A112B">
      <w:pPr>
        <w:ind w:right="386"/>
        <w:jc w:val="both"/>
      </w:pPr>
      <w:r>
        <w:t>90</w:t>
      </w:r>
      <w:r w:rsidR="00404471" w:rsidRPr="00E5571F">
        <w:tab/>
      </w:r>
      <w:r w:rsidR="00506E70" w:rsidRPr="00E5571F">
        <w:t>These are covered within the main body of the report</w:t>
      </w:r>
    </w:p>
    <w:p w14:paraId="4341BD34" w14:textId="77777777" w:rsidR="00506E70" w:rsidRDefault="00506E70" w:rsidP="002B7914">
      <w:pPr>
        <w:ind w:left="567" w:right="386" w:hanging="567"/>
        <w:jc w:val="both"/>
      </w:pPr>
    </w:p>
    <w:p w14:paraId="35418300" w14:textId="77777777" w:rsidR="002D462C" w:rsidRDefault="002D462C" w:rsidP="002B7914">
      <w:pPr>
        <w:ind w:left="567" w:right="386" w:hanging="567"/>
        <w:jc w:val="both"/>
      </w:pPr>
    </w:p>
    <w:p w14:paraId="2D4B7869" w14:textId="77777777" w:rsidR="002D462C" w:rsidRDefault="002D462C" w:rsidP="002B7914">
      <w:pPr>
        <w:ind w:left="567" w:right="386" w:hanging="567"/>
        <w:jc w:val="both"/>
      </w:pPr>
    </w:p>
    <w:p w14:paraId="43570CB7" w14:textId="77777777" w:rsidR="002D462C" w:rsidRDefault="002D462C" w:rsidP="002B7914">
      <w:pPr>
        <w:ind w:left="567" w:right="386" w:hanging="567"/>
        <w:jc w:val="both"/>
      </w:pPr>
    </w:p>
    <w:p w14:paraId="7D8FA7A3" w14:textId="77777777" w:rsidR="002D462C" w:rsidRDefault="002D462C" w:rsidP="002B7914">
      <w:pPr>
        <w:ind w:left="567" w:right="386" w:hanging="567"/>
        <w:jc w:val="both"/>
      </w:pPr>
    </w:p>
    <w:p w14:paraId="0B1F0C48" w14:textId="77777777" w:rsidR="002D462C" w:rsidRDefault="002D462C" w:rsidP="002B7914">
      <w:pPr>
        <w:ind w:left="567" w:right="386" w:hanging="567"/>
        <w:jc w:val="both"/>
      </w:pPr>
    </w:p>
    <w:p w14:paraId="4126E792" w14:textId="77777777" w:rsidR="002D462C" w:rsidRDefault="002D462C" w:rsidP="002B7914">
      <w:pPr>
        <w:ind w:left="567" w:right="386" w:hanging="567"/>
        <w:jc w:val="both"/>
      </w:pPr>
    </w:p>
    <w:p w14:paraId="0C8E9579" w14:textId="77777777" w:rsidR="002D462C" w:rsidRPr="00E5571F" w:rsidRDefault="002D462C" w:rsidP="002B7914">
      <w:pPr>
        <w:ind w:left="567" w:right="386" w:hanging="567"/>
        <w:jc w:val="both"/>
      </w:pPr>
    </w:p>
    <w:p w14:paraId="5977CF83" w14:textId="7EA7A34D" w:rsidR="00506E70" w:rsidRPr="008D6AFC" w:rsidRDefault="00506E70" w:rsidP="008D6AFC">
      <w:pPr>
        <w:spacing w:before="240" w:after="120"/>
        <w:outlineLvl w:val="0"/>
        <w:rPr>
          <w:b/>
          <w:color w:val="000000"/>
          <w:lang w:eastAsia="en-GB"/>
        </w:rPr>
      </w:pPr>
      <w:r w:rsidRPr="008D6AFC">
        <w:rPr>
          <w:b/>
          <w:color w:val="000000"/>
          <w:lang w:eastAsia="en-GB"/>
        </w:rPr>
        <w:t>Legal Implications</w:t>
      </w:r>
    </w:p>
    <w:p w14:paraId="6460C7D4" w14:textId="02320F5B" w:rsidR="00506E70" w:rsidRPr="00894B8A" w:rsidRDefault="000A112B" w:rsidP="002B7914">
      <w:pPr>
        <w:ind w:left="567" w:right="386" w:hanging="567"/>
        <w:jc w:val="both"/>
        <w:rPr>
          <w:highlight w:val="yellow"/>
        </w:rPr>
      </w:pPr>
      <w:r>
        <w:t>91</w:t>
      </w:r>
      <w:r w:rsidR="003A6D59" w:rsidRPr="00E5571F">
        <w:tab/>
      </w:r>
      <w:r w:rsidR="00DF0D5E" w:rsidRPr="00E5571F">
        <w:t>The Council is required to set a balanced budget tak</w:t>
      </w:r>
      <w:r w:rsidR="004248C4" w:rsidRPr="00E5571F">
        <w:t xml:space="preserve">ing </w:t>
      </w:r>
      <w:r w:rsidR="00DF0D5E" w:rsidRPr="00E5571F">
        <w:t>account of working balances and any other available reserves before the commencement of the financial year to which it relates.</w:t>
      </w:r>
      <w:r w:rsidR="00BC5A4B" w:rsidRPr="00E5571F">
        <w:t xml:space="preserve"> Consultation will be undertaken with the General Public for a period of 6 weeks in accordance with CIPFA Guidance</w:t>
      </w:r>
      <w:r w:rsidR="00BC5A4B" w:rsidRPr="00894B8A">
        <w:rPr>
          <w:highlight w:val="yellow"/>
        </w:rPr>
        <w:t>.</w:t>
      </w:r>
    </w:p>
    <w:p w14:paraId="6FDEF7CA" w14:textId="77777777" w:rsidR="00506E70" w:rsidRPr="00894B8A" w:rsidRDefault="00506E70" w:rsidP="002B7914">
      <w:pPr>
        <w:ind w:left="567" w:right="386" w:hanging="567"/>
        <w:jc w:val="both"/>
        <w:rPr>
          <w:highlight w:val="yellow"/>
        </w:rPr>
      </w:pPr>
    </w:p>
    <w:p w14:paraId="57D4F02D" w14:textId="3FB70AF8" w:rsidR="00506E70" w:rsidRPr="008D6AFC" w:rsidRDefault="00184310" w:rsidP="008D6AFC">
      <w:pPr>
        <w:spacing w:before="240" w:after="120"/>
        <w:outlineLvl w:val="0"/>
        <w:rPr>
          <w:b/>
          <w:color w:val="000000"/>
          <w:lang w:eastAsia="en-GB"/>
        </w:rPr>
      </w:pPr>
      <w:r w:rsidRPr="008D6AFC">
        <w:rPr>
          <w:b/>
          <w:color w:val="000000"/>
          <w:lang w:eastAsia="en-GB"/>
        </w:rPr>
        <w:t>Ris</w:t>
      </w:r>
      <w:r w:rsidR="00506E70" w:rsidRPr="008D6AFC">
        <w:rPr>
          <w:b/>
          <w:color w:val="000000"/>
          <w:lang w:eastAsia="en-GB"/>
        </w:rPr>
        <w:t>k Implications</w:t>
      </w:r>
    </w:p>
    <w:p w14:paraId="1F0EC87D" w14:textId="7B9BFC21" w:rsidR="00B17F3A" w:rsidRPr="00296B63" w:rsidRDefault="000A112B" w:rsidP="002B7914">
      <w:pPr>
        <w:ind w:left="567" w:right="386" w:hanging="567"/>
        <w:jc w:val="both"/>
      </w:pPr>
      <w:r>
        <w:t>92</w:t>
      </w:r>
      <w:r w:rsidR="00404471" w:rsidRPr="00296B63">
        <w:tab/>
      </w:r>
      <w:r w:rsidR="00B17F3A" w:rsidRPr="00296B63">
        <w:t xml:space="preserve">These are shown in Appendix </w:t>
      </w:r>
      <w:r w:rsidR="0059228F" w:rsidRPr="00296B63">
        <w:t>8</w:t>
      </w:r>
      <w:r w:rsidR="00B17F3A" w:rsidRPr="00296B63">
        <w:t xml:space="preserve"> of the report</w:t>
      </w:r>
    </w:p>
    <w:p w14:paraId="152E2A98" w14:textId="77777777" w:rsidR="00506E70" w:rsidRPr="00296B63" w:rsidRDefault="00506E70" w:rsidP="002B7914">
      <w:pPr>
        <w:ind w:left="567" w:right="386" w:hanging="567"/>
        <w:jc w:val="both"/>
      </w:pPr>
    </w:p>
    <w:p w14:paraId="4A9DE559" w14:textId="0030C4B3" w:rsidR="00404471" w:rsidRPr="008D6AFC" w:rsidRDefault="00404471" w:rsidP="008D6AFC">
      <w:pPr>
        <w:spacing w:before="240" w:after="120"/>
        <w:outlineLvl w:val="0"/>
        <w:rPr>
          <w:b/>
          <w:color w:val="000000"/>
          <w:lang w:eastAsia="en-GB"/>
        </w:rPr>
      </w:pPr>
      <w:r w:rsidRPr="008D6AFC">
        <w:rPr>
          <w:b/>
          <w:color w:val="000000"/>
          <w:lang w:eastAsia="en-GB"/>
        </w:rPr>
        <w:t>Equalities Impact Assessment</w:t>
      </w:r>
    </w:p>
    <w:p w14:paraId="26746B5D" w14:textId="6DCE55D5" w:rsidR="00404471" w:rsidRDefault="000A112B" w:rsidP="002B7914">
      <w:pPr>
        <w:ind w:left="567" w:right="386" w:hanging="567"/>
        <w:jc w:val="both"/>
      </w:pPr>
      <w:r>
        <w:t>93</w:t>
      </w:r>
      <w:r w:rsidR="00404471" w:rsidRPr="00296B63">
        <w:tab/>
        <w:t xml:space="preserve">These are shown in Appendix </w:t>
      </w:r>
      <w:r w:rsidR="0059228F" w:rsidRPr="00296B63">
        <w:t>9</w:t>
      </w:r>
      <w:r w:rsidR="00404471" w:rsidRPr="00296B63">
        <w:t xml:space="preserve"> of the report</w:t>
      </w:r>
    </w:p>
    <w:p w14:paraId="642E958D" w14:textId="77777777" w:rsidR="00390239" w:rsidRDefault="00390239" w:rsidP="002D462C">
      <w:pPr>
        <w:ind w:right="386"/>
        <w:jc w:val="both"/>
      </w:pPr>
    </w:p>
    <w:p w14:paraId="6A2C1D09" w14:textId="77777777" w:rsidR="00390239" w:rsidRPr="00296B63" w:rsidRDefault="00390239" w:rsidP="002B7914">
      <w:pPr>
        <w:ind w:left="567" w:right="386" w:hanging="567"/>
        <w:jc w:val="both"/>
      </w:pPr>
    </w:p>
    <w:p w14:paraId="3962C1CE" w14:textId="77777777" w:rsidR="002B3BBA" w:rsidRPr="00894B8A" w:rsidRDefault="002B3BBA" w:rsidP="003A0255">
      <w:pPr>
        <w:ind w:left="720" w:right="386"/>
        <w:jc w:val="both"/>
        <w:rPr>
          <w:highlight w:val="yellow"/>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E5571F" w14:paraId="6B065A8C" w14:textId="77777777">
        <w:tc>
          <w:tcPr>
            <w:tcW w:w="8522" w:type="dxa"/>
          </w:tcPr>
          <w:p w14:paraId="1CB1C604" w14:textId="77777777" w:rsidR="00713675" w:rsidRPr="00E5571F" w:rsidRDefault="00713675" w:rsidP="007C20F4">
            <w:pPr>
              <w:tabs>
                <w:tab w:val="left" w:pos="720"/>
                <w:tab w:val="left" w:pos="1440"/>
                <w:tab w:val="left" w:pos="2160"/>
                <w:tab w:val="left" w:pos="2880"/>
              </w:tabs>
              <w:ind w:right="386" w:firstLine="540"/>
              <w:rPr>
                <w:sz w:val="22"/>
                <w:szCs w:val="22"/>
              </w:rPr>
            </w:pPr>
            <w:r w:rsidRPr="00E5571F">
              <w:rPr>
                <w:b/>
                <w:bCs/>
                <w:sz w:val="22"/>
                <w:szCs w:val="22"/>
              </w:rPr>
              <w:t>Name and contact details of author:-</w:t>
            </w:r>
          </w:p>
        </w:tc>
      </w:tr>
      <w:tr w:rsidR="00713675" w:rsidRPr="00E5571F" w14:paraId="754C87E3" w14:textId="77777777">
        <w:tc>
          <w:tcPr>
            <w:tcW w:w="8522" w:type="dxa"/>
          </w:tcPr>
          <w:p w14:paraId="6DCC978E" w14:textId="77777777" w:rsidR="00713675" w:rsidRPr="00E5571F" w:rsidRDefault="00713675" w:rsidP="007C20F4">
            <w:pPr>
              <w:tabs>
                <w:tab w:val="left" w:pos="720"/>
                <w:tab w:val="left" w:pos="1440"/>
                <w:tab w:val="left" w:pos="2160"/>
                <w:tab w:val="left" w:pos="2880"/>
              </w:tabs>
              <w:ind w:right="386" w:firstLine="540"/>
            </w:pPr>
          </w:p>
          <w:p w14:paraId="5CDF1599" w14:textId="77777777" w:rsidR="00713675" w:rsidRPr="00E5571F" w:rsidRDefault="00713675" w:rsidP="007C20F4">
            <w:pPr>
              <w:tabs>
                <w:tab w:val="left" w:pos="720"/>
                <w:tab w:val="left" w:pos="1440"/>
                <w:tab w:val="left" w:pos="2160"/>
                <w:tab w:val="left" w:pos="2880"/>
              </w:tabs>
              <w:ind w:right="386" w:firstLine="540"/>
            </w:pPr>
            <w:r w:rsidRPr="00E5571F">
              <w:t>Name</w:t>
            </w:r>
            <w:r w:rsidR="007A7044" w:rsidRPr="00E5571F">
              <w:t xml:space="preserve">    :    Nigel Kennedy</w:t>
            </w:r>
          </w:p>
        </w:tc>
      </w:tr>
      <w:tr w:rsidR="00713675" w:rsidRPr="00E5571F" w14:paraId="4803FFE6" w14:textId="77777777">
        <w:tc>
          <w:tcPr>
            <w:tcW w:w="8522" w:type="dxa"/>
          </w:tcPr>
          <w:p w14:paraId="14061298" w14:textId="77777777" w:rsidR="00713675" w:rsidRPr="00E5571F" w:rsidRDefault="00713675" w:rsidP="007C20F4">
            <w:pPr>
              <w:tabs>
                <w:tab w:val="left" w:pos="720"/>
                <w:tab w:val="left" w:pos="1440"/>
                <w:tab w:val="left" w:pos="2160"/>
                <w:tab w:val="left" w:pos="2880"/>
              </w:tabs>
              <w:ind w:right="386" w:firstLine="540"/>
            </w:pPr>
            <w:r w:rsidRPr="00E5571F">
              <w:t>Job title</w:t>
            </w:r>
            <w:r w:rsidR="007A7044" w:rsidRPr="00E5571F">
              <w:t xml:space="preserve">   :  Head of Fina</w:t>
            </w:r>
            <w:r w:rsidR="00A17A6E" w:rsidRPr="00E5571F">
              <w:t>ncial Services</w:t>
            </w:r>
          </w:p>
        </w:tc>
      </w:tr>
      <w:tr w:rsidR="00713675" w:rsidRPr="00E5571F" w14:paraId="41A72DA1" w14:textId="77777777">
        <w:tc>
          <w:tcPr>
            <w:tcW w:w="8522" w:type="dxa"/>
          </w:tcPr>
          <w:p w14:paraId="5C7CFA9D" w14:textId="77777777" w:rsidR="00713675" w:rsidRPr="00E5571F" w:rsidRDefault="00713675" w:rsidP="007C20F4">
            <w:pPr>
              <w:tabs>
                <w:tab w:val="left" w:pos="720"/>
                <w:tab w:val="left" w:pos="1440"/>
                <w:tab w:val="left" w:pos="2160"/>
                <w:tab w:val="left" w:pos="2880"/>
              </w:tabs>
              <w:ind w:right="386" w:firstLine="540"/>
            </w:pPr>
            <w:r w:rsidRPr="00E5571F">
              <w:t>Service Area / Department</w:t>
            </w:r>
            <w:r w:rsidR="007A7044" w:rsidRPr="00E5571F">
              <w:t xml:space="preserve">   : Financ</w:t>
            </w:r>
            <w:r w:rsidR="00A17A6E" w:rsidRPr="00E5571F">
              <w:t>ial Services</w:t>
            </w:r>
          </w:p>
        </w:tc>
      </w:tr>
      <w:tr w:rsidR="00713675" w:rsidRPr="00E5571F" w14:paraId="0089EA68" w14:textId="77777777">
        <w:tc>
          <w:tcPr>
            <w:tcW w:w="8522" w:type="dxa"/>
          </w:tcPr>
          <w:p w14:paraId="458E561A" w14:textId="77777777" w:rsidR="00713675" w:rsidRPr="00E5571F" w:rsidRDefault="00713675" w:rsidP="007C20F4">
            <w:pPr>
              <w:tabs>
                <w:tab w:val="left" w:pos="720"/>
                <w:tab w:val="left" w:pos="1440"/>
                <w:tab w:val="left" w:pos="2160"/>
                <w:tab w:val="left" w:pos="2880"/>
              </w:tabs>
              <w:ind w:right="386" w:firstLine="540"/>
              <w:rPr>
                <w:color w:val="0000FF"/>
                <w:u w:val="single"/>
              </w:rPr>
            </w:pPr>
            <w:r w:rsidRPr="00E5571F">
              <w:t xml:space="preserve">Tel:  01865 </w:t>
            </w:r>
            <w:r w:rsidR="007A7044" w:rsidRPr="00E5571F">
              <w:t>252708</w:t>
            </w:r>
            <w:r w:rsidRPr="00E5571F">
              <w:t xml:space="preserve">  e-mail:</w:t>
            </w:r>
            <w:r w:rsidR="007A7044" w:rsidRPr="00E5571F">
              <w:t xml:space="preserve">   nkennedy@oxford.gov.uk</w:t>
            </w:r>
            <w:r w:rsidRPr="00E5571F">
              <w:t xml:space="preserve">  </w:t>
            </w:r>
          </w:p>
        </w:tc>
      </w:tr>
    </w:tbl>
    <w:p w14:paraId="45F24BC8" w14:textId="77777777" w:rsidR="00F4367A" w:rsidRPr="00E5571F" w:rsidRDefault="00F4367A" w:rsidP="007C20F4">
      <w:pPr>
        <w:ind w:right="386" w:firstLine="540"/>
        <w:rPr>
          <w:rFonts w:cs="Arial"/>
          <w:b/>
          <w:bCs/>
          <w:sz w:val="22"/>
          <w:szCs w:val="22"/>
        </w:rPr>
      </w:pPr>
    </w:p>
    <w:p w14:paraId="16CC4E65" w14:textId="5508F6BB" w:rsidR="00F4367A" w:rsidRPr="00FC3A80" w:rsidRDefault="00834E58" w:rsidP="002D462C">
      <w:pPr>
        <w:ind w:right="386"/>
        <w:rPr>
          <w:b/>
          <w:bCs/>
          <w:sz w:val="22"/>
          <w:szCs w:val="22"/>
        </w:rPr>
      </w:pPr>
      <w:r w:rsidRPr="0069562D">
        <w:rPr>
          <w:b/>
          <w:bCs/>
          <w:sz w:val="22"/>
          <w:szCs w:val="22"/>
        </w:rPr>
        <w:t xml:space="preserve"> </w:t>
      </w:r>
    </w:p>
    <w:sectPr w:rsidR="00F4367A" w:rsidRPr="00FC3A80" w:rsidSect="00D14370">
      <w:footerReference w:type="default" r:id="rId10"/>
      <w:pgSz w:w="11906" w:h="16838"/>
      <w:pgMar w:top="1134" w:right="1418" w:bottom="1134" w:left="1418" w:header="709" w:footer="6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8AA72" w15:done="0"/>
  <w15:commentEx w15:paraId="4B9E2189" w15:done="0"/>
  <w15:commentEx w15:paraId="01500C0D" w15:done="0"/>
  <w15:commentEx w15:paraId="683DC132" w15:done="0"/>
  <w15:commentEx w15:paraId="76EAFF20" w15:done="0"/>
  <w15:commentEx w15:paraId="7009DA2B" w15:done="0"/>
  <w15:commentEx w15:paraId="304A5581" w15:done="0"/>
  <w15:commentEx w15:paraId="5F5E44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F282" w14:textId="77777777" w:rsidR="003B33E2" w:rsidRDefault="003B33E2">
      <w:r>
        <w:separator/>
      </w:r>
    </w:p>
  </w:endnote>
  <w:endnote w:type="continuationSeparator" w:id="0">
    <w:p w14:paraId="2748E49A" w14:textId="77777777" w:rsidR="003B33E2" w:rsidRDefault="003B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S Me">
    <w:altName w:val="FS M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058F" w14:textId="71A501B4" w:rsidR="003B33E2" w:rsidRPr="001D016D" w:rsidRDefault="003B33E2" w:rsidP="003B33E2">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3DC5B" w14:textId="77777777" w:rsidR="003B33E2" w:rsidRDefault="003B33E2">
      <w:r>
        <w:separator/>
      </w:r>
    </w:p>
  </w:footnote>
  <w:footnote w:type="continuationSeparator" w:id="0">
    <w:p w14:paraId="3F6901C4" w14:textId="77777777" w:rsidR="003B33E2" w:rsidRDefault="003B3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1A"/>
    <w:multiLevelType w:val="hybridMultilevel"/>
    <w:tmpl w:val="2BFEF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1C51EC"/>
    <w:multiLevelType w:val="hybridMultilevel"/>
    <w:tmpl w:val="FED03DB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D9E1545"/>
    <w:multiLevelType w:val="hybridMultilevel"/>
    <w:tmpl w:val="A4F82F84"/>
    <w:lvl w:ilvl="0" w:tplc="08090001">
      <w:start w:val="1"/>
      <w:numFmt w:val="bullet"/>
      <w:lvlText w:val=""/>
      <w:lvlJc w:val="left"/>
      <w:pPr>
        <w:ind w:left="2740" w:hanging="360"/>
      </w:pPr>
      <w:rPr>
        <w:rFonts w:ascii="Symbol" w:hAnsi="Symbol" w:hint="default"/>
      </w:rPr>
    </w:lvl>
    <w:lvl w:ilvl="1" w:tplc="08090001">
      <w:start w:val="1"/>
      <w:numFmt w:val="bullet"/>
      <w:lvlText w:val=""/>
      <w:lvlJc w:val="left"/>
      <w:pPr>
        <w:ind w:left="3460" w:hanging="360"/>
      </w:pPr>
      <w:rPr>
        <w:rFonts w:ascii="Symbol" w:hAnsi="Symbol" w:hint="default"/>
      </w:rPr>
    </w:lvl>
    <w:lvl w:ilvl="2" w:tplc="0809001B">
      <w:start w:val="1"/>
      <w:numFmt w:val="lowerRoman"/>
      <w:lvlText w:val="%3."/>
      <w:lvlJc w:val="right"/>
      <w:pPr>
        <w:ind w:left="4180" w:hanging="180"/>
      </w:pPr>
    </w:lvl>
    <w:lvl w:ilvl="3" w:tplc="0809000F" w:tentative="1">
      <w:start w:val="1"/>
      <w:numFmt w:val="decimal"/>
      <w:lvlText w:val="%4."/>
      <w:lvlJc w:val="left"/>
      <w:pPr>
        <w:ind w:left="4900" w:hanging="360"/>
      </w:pPr>
    </w:lvl>
    <w:lvl w:ilvl="4" w:tplc="08090019" w:tentative="1">
      <w:start w:val="1"/>
      <w:numFmt w:val="lowerLetter"/>
      <w:lvlText w:val="%5."/>
      <w:lvlJc w:val="left"/>
      <w:pPr>
        <w:ind w:left="5620" w:hanging="360"/>
      </w:pPr>
    </w:lvl>
    <w:lvl w:ilvl="5" w:tplc="0809001B" w:tentative="1">
      <w:start w:val="1"/>
      <w:numFmt w:val="lowerRoman"/>
      <w:lvlText w:val="%6."/>
      <w:lvlJc w:val="right"/>
      <w:pPr>
        <w:ind w:left="6340" w:hanging="180"/>
      </w:pPr>
    </w:lvl>
    <w:lvl w:ilvl="6" w:tplc="0809000F" w:tentative="1">
      <w:start w:val="1"/>
      <w:numFmt w:val="decimal"/>
      <w:lvlText w:val="%7."/>
      <w:lvlJc w:val="left"/>
      <w:pPr>
        <w:ind w:left="7060" w:hanging="360"/>
      </w:pPr>
    </w:lvl>
    <w:lvl w:ilvl="7" w:tplc="08090019" w:tentative="1">
      <w:start w:val="1"/>
      <w:numFmt w:val="lowerLetter"/>
      <w:lvlText w:val="%8."/>
      <w:lvlJc w:val="left"/>
      <w:pPr>
        <w:ind w:left="7780" w:hanging="360"/>
      </w:pPr>
    </w:lvl>
    <w:lvl w:ilvl="8" w:tplc="0809001B" w:tentative="1">
      <w:start w:val="1"/>
      <w:numFmt w:val="lowerRoman"/>
      <w:lvlText w:val="%9."/>
      <w:lvlJc w:val="right"/>
      <w:pPr>
        <w:ind w:left="8500" w:hanging="180"/>
      </w:pPr>
    </w:lvl>
  </w:abstractNum>
  <w:abstractNum w:abstractNumId="3">
    <w:nsid w:val="0F9C13A7"/>
    <w:multiLevelType w:val="hybridMultilevel"/>
    <w:tmpl w:val="71DC9E1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0FBE2D04"/>
    <w:multiLevelType w:val="hybridMultilevel"/>
    <w:tmpl w:val="F3F23AC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5B23D4"/>
    <w:multiLevelType w:val="hybridMultilevel"/>
    <w:tmpl w:val="467A0BDA"/>
    <w:lvl w:ilvl="0" w:tplc="B41E5DBC">
      <w:start w:val="19"/>
      <w:numFmt w:val="bullet"/>
      <w:lvlText w:val="•"/>
      <w:lvlJc w:val="left"/>
      <w:pPr>
        <w:ind w:left="2348" w:hanging="360"/>
      </w:pPr>
      <w:rPr>
        <w:rFonts w:ascii="Arial" w:eastAsia="Times New Roman" w:hAnsi="Arial" w:cs="Arial" w:hint="default"/>
      </w:rPr>
    </w:lvl>
    <w:lvl w:ilvl="1" w:tplc="08090003">
      <w:start w:val="1"/>
      <w:numFmt w:val="bullet"/>
      <w:lvlText w:val="o"/>
      <w:lvlJc w:val="left"/>
      <w:pPr>
        <w:ind w:left="3068" w:hanging="360"/>
      </w:pPr>
      <w:rPr>
        <w:rFonts w:ascii="Courier New" w:hAnsi="Courier New" w:cs="Courier New" w:hint="default"/>
      </w:rPr>
    </w:lvl>
    <w:lvl w:ilvl="2" w:tplc="08090005" w:tentative="1">
      <w:start w:val="1"/>
      <w:numFmt w:val="bullet"/>
      <w:lvlText w:val=""/>
      <w:lvlJc w:val="left"/>
      <w:pPr>
        <w:ind w:left="3788" w:hanging="360"/>
      </w:pPr>
      <w:rPr>
        <w:rFonts w:ascii="Wingdings" w:hAnsi="Wingdings" w:hint="default"/>
      </w:rPr>
    </w:lvl>
    <w:lvl w:ilvl="3" w:tplc="08090001" w:tentative="1">
      <w:start w:val="1"/>
      <w:numFmt w:val="bullet"/>
      <w:lvlText w:val=""/>
      <w:lvlJc w:val="left"/>
      <w:pPr>
        <w:ind w:left="4508" w:hanging="360"/>
      </w:pPr>
      <w:rPr>
        <w:rFonts w:ascii="Symbol" w:hAnsi="Symbol" w:hint="default"/>
      </w:rPr>
    </w:lvl>
    <w:lvl w:ilvl="4" w:tplc="08090003" w:tentative="1">
      <w:start w:val="1"/>
      <w:numFmt w:val="bullet"/>
      <w:lvlText w:val="o"/>
      <w:lvlJc w:val="left"/>
      <w:pPr>
        <w:ind w:left="5228" w:hanging="360"/>
      </w:pPr>
      <w:rPr>
        <w:rFonts w:ascii="Courier New" w:hAnsi="Courier New" w:cs="Courier New" w:hint="default"/>
      </w:rPr>
    </w:lvl>
    <w:lvl w:ilvl="5" w:tplc="08090005" w:tentative="1">
      <w:start w:val="1"/>
      <w:numFmt w:val="bullet"/>
      <w:lvlText w:val=""/>
      <w:lvlJc w:val="left"/>
      <w:pPr>
        <w:ind w:left="5948" w:hanging="360"/>
      </w:pPr>
      <w:rPr>
        <w:rFonts w:ascii="Wingdings" w:hAnsi="Wingdings" w:hint="default"/>
      </w:rPr>
    </w:lvl>
    <w:lvl w:ilvl="6" w:tplc="08090001" w:tentative="1">
      <w:start w:val="1"/>
      <w:numFmt w:val="bullet"/>
      <w:lvlText w:val=""/>
      <w:lvlJc w:val="left"/>
      <w:pPr>
        <w:ind w:left="6668" w:hanging="360"/>
      </w:pPr>
      <w:rPr>
        <w:rFonts w:ascii="Symbol" w:hAnsi="Symbol" w:hint="default"/>
      </w:rPr>
    </w:lvl>
    <w:lvl w:ilvl="7" w:tplc="08090003" w:tentative="1">
      <w:start w:val="1"/>
      <w:numFmt w:val="bullet"/>
      <w:lvlText w:val="o"/>
      <w:lvlJc w:val="left"/>
      <w:pPr>
        <w:ind w:left="7388" w:hanging="360"/>
      </w:pPr>
      <w:rPr>
        <w:rFonts w:ascii="Courier New" w:hAnsi="Courier New" w:cs="Courier New" w:hint="default"/>
      </w:rPr>
    </w:lvl>
    <w:lvl w:ilvl="8" w:tplc="08090005" w:tentative="1">
      <w:start w:val="1"/>
      <w:numFmt w:val="bullet"/>
      <w:lvlText w:val=""/>
      <w:lvlJc w:val="left"/>
      <w:pPr>
        <w:ind w:left="8108" w:hanging="360"/>
      </w:pPr>
      <w:rPr>
        <w:rFonts w:ascii="Wingdings" w:hAnsi="Wingdings" w:hint="default"/>
      </w:rPr>
    </w:lvl>
  </w:abstractNum>
  <w:abstractNum w:abstractNumId="6">
    <w:nsid w:val="1963255F"/>
    <w:multiLevelType w:val="hybridMultilevel"/>
    <w:tmpl w:val="C7BE7C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1C4705A3"/>
    <w:multiLevelType w:val="hybridMultilevel"/>
    <w:tmpl w:val="A7CA9AAA"/>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7C7A15"/>
    <w:multiLevelType w:val="hybridMultilevel"/>
    <w:tmpl w:val="0142AF1C"/>
    <w:lvl w:ilvl="0" w:tplc="E05A82E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FE3357"/>
    <w:multiLevelType w:val="hybridMultilevel"/>
    <w:tmpl w:val="AF9808C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253471D9"/>
    <w:multiLevelType w:val="hybridMultilevel"/>
    <w:tmpl w:val="082E3350"/>
    <w:lvl w:ilvl="0" w:tplc="AD2E3D2A">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5160A7"/>
    <w:multiLevelType w:val="hybridMultilevel"/>
    <w:tmpl w:val="7DD01392"/>
    <w:lvl w:ilvl="0" w:tplc="CAE8A834">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33D06"/>
    <w:multiLevelType w:val="hybridMultilevel"/>
    <w:tmpl w:val="8860377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nsid w:val="369F41E7"/>
    <w:multiLevelType w:val="hybridMultilevel"/>
    <w:tmpl w:val="03F4E7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39164946"/>
    <w:multiLevelType w:val="hybridMultilevel"/>
    <w:tmpl w:val="B4F0C962"/>
    <w:lvl w:ilvl="0" w:tplc="50789FE0">
      <w:start w:val="12"/>
      <w:numFmt w:val="lowerLetter"/>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nsid w:val="3F683BAC"/>
    <w:multiLevelType w:val="hybridMultilevel"/>
    <w:tmpl w:val="5EF66188"/>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42F77BB"/>
    <w:multiLevelType w:val="hybridMultilevel"/>
    <w:tmpl w:val="4B2EA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4E97222"/>
    <w:multiLevelType w:val="hybridMultilevel"/>
    <w:tmpl w:val="4EE65958"/>
    <w:lvl w:ilvl="0" w:tplc="8A8CAAAE">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E4668A"/>
    <w:multiLevelType w:val="hybridMultilevel"/>
    <w:tmpl w:val="055AB45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9">
    <w:nsid w:val="50633D8B"/>
    <w:multiLevelType w:val="hybridMultilevel"/>
    <w:tmpl w:val="84681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E87D6B"/>
    <w:multiLevelType w:val="hybridMultilevel"/>
    <w:tmpl w:val="587E6D30"/>
    <w:lvl w:ilvl="0" w:tplc="7DEC69AC">
      <w:start w:val="1"/>
      <w:numFmt w:val="lowerLetter"/>
      <w:lvlText w:val="%1)"/>
      <w:lvlJc w:val="left"/>
      <w:pPr>
        <w:tabs>
          <w:tab w:val="num" w:pos="2629"/>
        </w:tabs>
        <w:ind w:left="2629" w:hanging="360"/>
      </w:pPr>
      <w:rPr>
        <w:rFonts w:ascii="Arial" w:eastAsia="Times New Roman" w:hAnsi="Arial" w:cs="Times New Roman"/>
        <w:sz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8DB2547"/>
    <w:multiLevelType w:val="hybridMultilevel"/>
    <w:tmpl w:val="091CE0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90F6BF9"/>
    <w:multiLevelType w:val="hybridMultilevel"/>
    <w:tmpl w:val="0BF629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B1A2D9B"/>
    <w:multiLevelType w:val="hybridMultilevel"/>
    <w:tmpl w:val="E208F44E"/>
    <w:lvl w:ilvl="0" w:tplc="C56A074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E44382"/>
    <w:multiLevelType w:val="hybridMultilevel"/>
    <w:tmpl w:val="244E16B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nsid w:val="62226B22"/>
    <w:multiLevelType w:val="hybridMultilevel"/>
    <w:tmpl w:val="92C2895A"/>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26">
    <w:nsid w:val="63BD1710"/>
    <w:multiLevelType w:val="hybridMultilevel"/>
    <w:tmpl w:val="EB269D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28">
    <w:nsid w:val="66C6066C"/>
    <w:multiLevelType w:val="hybridMultilevel"/>
    <w:tmpl w:val="20DA9C7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9">
    <w:nsid w:val="68537B65"/>
    <w:multiLevelType w:val="hybridMultilevel"/>
    <w:tmpl w:val="303A9B1A"/>
    <w:lvl w:ilvl="0" w:tplc="A3B8763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002964"/>
    <w:multiLevelType w:val="hybridMultilevel"/>
    <w:tmpl w:val="87729E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B881EEF"/>
    <w:multiLevelType w:val="hybridMultilevel"/>
    <w:tmpl w:val="73B6AD18"/>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6C0706F0"/>
    <w:multiLevelType w:val="hybridMultilevel"/>
    <w:tmpl w:val="1E18E9A6"/>
    <w:lvl w:ilvl="0" w:tplc="DE1803AA">
      <w:start w:val="8"/>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196E05C4">
      <w:start w:val="10"/>
      <w:numFmt w:val="upperLetter"/>
      <w:lvlText w:val="%4)"/>
      <w:lvlJc w:val="left"/>
      <w:pPr>
        <w:ind w:left="2880" w:hanging="360"/>
      </w:pPr>
      <w:rPr>
        <w:rFonts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E317E4"/>
    <w:multiLevelType w:val="hybridMultilevel"/>
    <w:tmpl w:val="5AE0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D4F37D8"/>
    <w:multiLevelType w:val="hybridMultilevel"/>
    <w:tmpl w:val="BDAAAB5E"/>
    <w:lvl w:ilvl="0" w:tplc="69C4F4F4">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nsid w:val="6E807BD7"/>
    <w:multiLevelType w:val="hybridMultilevel"/>
    <w:tmpl w:val="E67E2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F1016CD"/>
    <w:multiLevelType w:val="hybridMultilevel"/>
    <w:tmpl w:val="525E461C"/>
    <w:lvl w:ilvl="0" w:tplc="45F0915E">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4A1E1B"/>
    <w:multiLevelType w:val="hybridMultilevel"/>
    <w:tmpl w:val="53069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7E02770"/>
    <w:multiLevelType w:val="hybridMultilevel"/>
    <w:tmpl w:val="9144594A"/>
    <w:lvl w:ilvl="0" w:tplc="B41E5DBC">
      <w:start w:val="19"/>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D103438"/>
    <w:multiLevelType w:val="hybridMultilevel"/>
    <w:tmpl w:val="1DC42B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nsid w:val="7FBE66CA"/>
    <w:multiLevelType w:val="hybridMultilevel"/>
    <w:tmpl w:val="C074BC90"/>
    <w:lvl w:ilvl="0" w:tplc="6AFCDC8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34"/>
  </w:num>
  <w:num w:numId="4">
    <w:abstractNumId w:val="31"/>
  </w:num>
  <w:num w:numId="5">
    <w:abstractNumId w:val="25"/>
  </w:num>
  <w:num w:numId="6">
    <w:abstractNumId w:val="4"/>
  </w:num>
  <w:num w:numId="7">
    <w:abstractNumId w:val="1"/>
  </w:num>
  <w:num w:numId="8">
    <w:abstractNumId w:val="27"/>
  </w:num>
  <w:num w:numId="9">
    <w:abstractNumId w:val="15"/>
  </w:num>
  <w:num w:numId="10">
    <w:abstractNumId w:val="33"/>
  </w:num>
  <w:num w:numId="11">
    <w:abstractNumId w:val="16"/>
  </w:num>
  <w:num w:numId="12">
    <w:abstractNumId w:val="18"/>
  </w:num>
  <w:num w:numId="13">
    <w:abstractNumId w:val="14"/>
  </w:num>
  <w:num w:numId="14">
    <w:abstractNumId w:val="30"/>
  </w:num>
  <w:num w:numId="15">
    <w:abstractNumId w:val="39"/>
  </w:num>
  <w:num w:numId="16">
    <w:abstractNumId w:val="6"/>
  </w:num>
  <w:num w:numId="17">
    <w:abstractNumId w:val="35"/>
  </w:num>
  <w:num w:numId="18">
    <w:abstractNumId w:val="40"/>
  </w:num>
  <w:num w:numId="19">
    <w:abstractNumId w:val="32"/>
  </w:num>
  <w:num w:numId="20">
    <w:abstractNumId w:val="13"/>
  </w:num>
  <w:num w:numId="21">
    <w:abstractNumId w:val="0"/>
  </w:num>
  <w:num w:numId="22">
    <w:abstractNumId w:val="12"/>
  </w:num>
  <w:num w:numId="23">
    <w:abstractNumId w:val="5"/>
  </w:num>
  <w:num w:numId="24">
    <w:abstractNumId w:val="38"/>
  </w:num>
  <w:num w:numId="25">
    <w:abstractNumId w:val="21"/>
  </w:num>
  <w:num w:numId="26">
    <w:abstractNumId w:val="26"/>
  </w:num>
  <w:num w:numId="27">
    <w:abstractNumId w:val="2"/>
  </w:num>
  <w:num w:numId="28">
    <w:abstractNumId w:val="3"/>
  </w:num>
  <w:num w:numId="29">
    <w:abstractNumId w:val="22"/>
  </w:num>
  <w:num w:numId="30">
    <w:abstractNumId w:val="37"/>
  </w:num>
  <w:num w:numId="31">
    <w:abstractNumId w:val="9"/>
  </w:num>
  <w:num w:numId="32">
    <w:abstractNumId w:val="23"/>
  </w:num>
  <w:num w:numId="33">
    <w:abstractNumId w:val="28"/>
  </w:num>
  <w:num w:numId="34">
    <w:abstractNumId w:val="24"/>
  </w:num>
  <w:num w:numId="35">
    <w:abstractNumId w:val="17"/>
  </w:num>
  <w:num w:numId="36">
    <w:abstractNumId w:val="10"/>
  </w:num>
  <w:num w:numId="37">
    <w:abstractNumId w:val="8"/>
  </w:num>
  <w:num w:numId="38">
    <w:abstractNumId w:val="29"/>
  </w:num>
  <w:num w:numId="39">
    <w:abstractNumId w:val="11"/>
  </w:num>
  <w:num w:numId="40">
    <w:abstractNumId w:val="36"/>
  </w:num>
  <w:num w:numId="41">
    <w:abstractNumId w:val="1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0DD"/>
    <w:rsid w:val="00000121"/>
    <w:rsid w:val="00000801"/>
    <w:rsid w:val="00000EAF"/>
    <w:rsid w:val="00001F53"/>
    <w:rsid w:val="000026E1"/>
    <w:rsid w:val="00002ACC"/>
    <w:rsid w:val="00003F37"/>
    <w:rsid w:val="00004448"/>
    <w:rsid w:val="0000468F"/>
    <w:rsid w:val="00004FC3"/>
    <w:rsid w:val="00005687"/>
    <w:rsid w:val="00006CD9"/>
    <w:rsid w:val="0000772B"/>
    <w:rsid w:val="00010588"/>
    <w:rsid w:val="00011F07"/>
    <w:rsid w:val="0001206E"/>
    <w:rsid w:val="000120B5"/>
    <w:rsid w:val="0001377A"/>
    <w:rsid w:val="000148E2"/>
    <w:rsid w:val="00014AC3"/>
    <w:rsid w:val="00014CCE"/>
    <w:rsid w:val="00014D43"/>
    <w:rsid w:val="00015264"/>
    <w:rsid w:val="0001589B"/>
    <w:rsid w:val="00015FB5"/>
    <w:rsid w:val="00016AF4"/>
    <w:rsid w:val="00017261"/>
    <w:rsid w:val="00017EC1"/>
    <w:rsid w:val="0002042E"/>
    <w:rsid w:val="0002084D"/>
    <w:rsid w:val="000222BA"/>
    <w:rsid w:val="00022FE4"/>
    <w:rsid w:val="00023C36"/>
    <w:rsid w:val="00026D0F"/>
    <w:rsid w:val="00026D54"/>
    <w:rsid w:val="00031ED1"/>
    <w:rsid w:val="00032DD3"/>
    <w:rsid w:val="00036B31"/>
    <w:rsid w:val="000374C3"/>
    <w:rsid w:val="0003781E"/>
    <w:rsid w:val="00037D09"/>
    <w:rsid w:val="000409F1"/>
    <w:rsid w:val="00040FE0"/>
    <w:rsid w:val="0004116B"/>
    <w:rsid w:val="00041DBF"/>
    <w:rsid w:val="000433C7"/>
    <w:rsid w:val="0004668D"/>
    <w:rsid w:val="00046ACD"/>
    <w:rsid w:val="00046DD0"/>
    <w:rsid w:val="000500E3"/>
    <w:rsid w:val="000515AC"/>
    <w:rsid w:val="00052F09"/>
    <w:rsid w:val="0005334B"/>
    <w:rsid w:val="000548A5"/>
    <w:rsid w:val="0005525B"/>
    <w:rsid w:val="000552C7"/>
    <w:rsid w:val="00056263"/>
    <w:rsid w:val="00056945"/>
    <w:rsid w:val="00056DFB"/>
    <w:rsid w:val="00061569"/>
    <w:rsid w:val="00061CDD"/>
    <w:rsid w:val="00063037"/>
    <w:rsid w:val="00064089"/>
    <w:rsid w:val="00064918"/>
    <w:rsid w:val="000651D3"/>
    <w:rsid w:val="00065297"/>
    <w:rsid w:val="000670D8"/>
    <w:rsid w:val="000675DC"/>
    <w:rsid w:val="00071B82"/>
    <w:rsid w:val="00071E87"/>
    <w:rsid w:val="00072E78"/>
    <w:rsid w:val="00073637"/>
    <w:rsid w:val="00073CCA"/>
    <w:rsid w:val="000743AA"/>
    <w:rsid w:val="00074897"/>
    <w:rsid w:val="00075169"/>
    <w:rsid w:val="00076698"/>
    <w:rsid w:val="0008133C"/>
    <w:rsid w:val="000851F2"/>
    <w:rsid w:val="0008606E"/>
    <w:rsid w:val="00086317"/>
    <w:rsid w:val="0008651B"/>
    <w:rsid w:val="00086EBA"/>
    <w:rsid w:val="00087185"/>
    <w:rsid w:val="000909AE"/>
    <w:rsid w:val="0009116B"/>
    <w:rsid w:val="000911F3"/>
    <w:rsid w:val="00091D62"/>
    <w:rsid w:val="00094D1E"/>
    <w:rsid w:val="00094E55"/>
    <w:rsid w:val="000951D3"/>
    <w:rsid w:val="00095D72"/>
    <w:rsid w:val="0009616E"/>
    <w:rsid w:val="00096BAD"/>
    <w:rsid w:val="000973F8"/>
    <w:rsid w:val="0009753F"/>
    <w:rsid w:val="00097D70"/>
    <w:rsid w:val="00097FFC"/>
    <w:rsid w:val="000A0E93"/>
    <w:rsid w:val="000A112B"/>
    <w:rsid w:val="000A1460"/>
    <w:rsid w:val="000A18C0"/>
    <w:rsid w:val="000A2BAF"/>
    <w:rsid w:val="000A4CA2"/>
    <w:rsid w:val="000A4D0E"/>
    <w:rsid w:val="000A731F"/>
    <w:rsid w:val="000B173D"/>
    <w:rsid w:val="000B17F5"/>
    <w:rsid w:val="000B1DBE"/>
    <w:rsid w:val="000B26A3"/>
    <w:rsid w:val="000B3050"/>
    <w:rsid w:val="000B366D"/>
    <w:rsid w:val="000B3A12"/>
    <w:rsid w:val="000B3A3B"/>
    <w:rsid w:val="000B409C"/>
    <w:rsid w:val="000B44CB"/>
    <w:rsid w:val="000B790A"/>
    <w:rsid w:val="000C0708"/>
    <w:rsid w:val="000C0D51"/>
    <w:rsid w:val="000C11C5"/>
    <w:rsid w:val="000C143A"/>
    <w:rsid w:val="000C34F2"/>
    <w:rsid w:val="000C480C"/>
    <w:rsid w:val="000C487F"/>
    <w:rsid w:val="000C4C6F"/>
    <w:rsid w:val="000C5168"/>
    <w:rsid w:val="000C56AB"/>
    <w:rsid w:val="000C5CA1"/>
    <w:rsid w:val="000C7969"/>
    <w:rsid w:val="000D3698"/>
    <w:rsid w:val="000D3814"/>
    <w:rsid w:val="000D4044"/>
    <w:rsid w:val="000D4065"/>
    <w:rsid w:val="000D4472"/>
    <w:rsid w:val="000D6B54"/>
    <w:rsid w:val="000D7025"/>
    <w:rsid w:val="000D75E5"/>
    <w:rsid w:val="000E0192"/>
    <w:rsid w:val="000E1129"/>
    <w:rsid w:val="000E3E60"/>
    <w:rsid w:val="000E4F2D"/>
    <w:rsid w:val="000E5A24"/>
    <w:rsid w:val="000F0435"/>
    <w:rsid w:val="000F0A8D"/>
    <w:rsid w:val="000F0CBC"/>
    <w:rsid w:val="000F32AB"/>
    <w:rsid w:val="000F4333"/>
    <w:rsid w:val="000F51FB"/>
    <w:rsid w:val="000F525A"/>
    <w:rsid w:val="000F5926"/>
    <w:rsid w:val="000F5AB8"/>
    <w:rsid w:val="000F7425"/>
    <w:rsid w:val="000F74A3"/>
    <w:rsid w:val="000F7BF7"/>
    <w:rsid w:val="001005F5"/>
    <w:rsid w:val="00100D64"/>
    <w:rsid w:val="00101064"/>
    <w:rsid w:val="00101448"/>
    <w:rsid w:val="00102CFD"/>
    <w:rsid w:val="0010339A"/>
    <w:rsid w:val="0010402D"/>
    <w:rsid w:val="0010427B"/>
    <w:rsid w:val="001062B6"/>
    <w:rsid w:val="00106D5B"/>
    <w:rsid w:val="00107DF2"/>
    <w:rsid w:val="00111A9E"/>
    <w:rsid w:val="00111ACB"/>
    <w:rsid w:val="00115150"/>
    <w:rsid w:val="001167B2"/>
    <w:rsid w:val="00121B5A"/>
    <w:rsid w:val="00123FCB"/>
    <w:rsid w:val="00124796"/>
    <w:rsid w:val="00124BC9"/>
    <w:rsid w:val="00124F61"/>
    <w:rsid w:val="00130C26"/>
    <w:rsid w:val="0013139E"/>
    <w:rsid w:val="00131907"/>
    <w:rsid w:val="00132E38"/>
    <w:rsid w:val="00132F27"/>
    <w:rsid w:val="0013316B"/>
    <w:rsid w:val="00133CFB"/>
    <w:rsid w:val="00133F0E"/>
    <w:rsid w:val="001345A3"/>
    <w:rsid w:val="00135B22"/>
    <w:rsid w:val="00136D03"/>
    <w:rsid w:val="00137B85"/>
    <w:rsid w:val="001416DD"/>
    <w:rsid w:val="001432E0"/>
    <w:rsid w:val="001439EB"/>
    <w:rsid w:val="00143F4B"/>
    <w:rsid w:val="001447C4"/>
    <w:rsid w:val="00144F8E"/>
    <w:rsid w:val="001450E0"/>
    <w:rsid w:val="001450F5"/>
    <w:rsid w:val="00145219"/>
    <w:rsid w:val="00147B5A"/>
    <w:rsid w:val="00147DDB"/>
    <w:rsid w:val="0015024A"/>
    <w:rsid w:val="00150735"/>
    <w:rsid w:val="001509CB"/>
    <w:rsid w:val="00151BF4"/>
    <w:rsid w:val="00152E53"/>
    <w:rsid w:val="0015339C"/>
    <w:rsid w:val="00153780"/>
    <w:rsid w:val="00153D29"/>
    <w:rsid w:val="001543E6"/>
    <w:rsid w:val="00156624"/>
    <w:rsid w:val="00157316"/>
    <w:rsid w:val="00157FF8"/>
    <w:rsid w:val="0016020C"/>
    <w:rsid w:val="001606EC"/>
    <w:rsid w:val="001626FF"/>
    <w:rsid w:val="00163E6D"/>
    <w:rsid w:val="00163F16"/>
    <w:rsid w:val="00163FA2"/>
    <w:rsid w:val="00164388"/>
    <w:rsid w:val="001643B0"/>
    <w:rsid w:val="001656EE"/>
    <w:rsid w:val="00165A9E"/>
    <w:rsid w:val="00166E93"/>
    <w:rsid w:val="00167B6A"/>
    <w:rsid w:val="001701DE"/>
    <w:rsid w:val="00170DF8"/>
    <w:rsid w:val="00170E22"/>
    <w:rsid w:val="001718F2"/>
    <w:rsid w:val="0017223A"/>
    <w:rsid w:val="00175F14"/>
    <w:rsid w:val="00176CEB"/>
    <w:rsid w:val="00177F3E"/>
    <w:rsid w:val="001810E8"/>
    <w:rsid w:val="0018345C"/>
    <w:rsid w:val="00183BCD"/>
    <w:rsid w:val="00184310"/>
    <w:rsid w:val="00185787"/>
    <w:rsid w:val="00186993"/>
    <w:rsid w:val="00186C0A"/>
    <w:rsid w:val="0018734E"/>
    <w:rsid w:val="00190022"/>
    <w:rsid w:val="00190B23"/>
    <w:rsid w:val="00190E00"/>
    <w:rsid w:val="001913B3"/>
    <w:rsid w:val="00192E72"/>
    <w:rsid w:val="00193ACD"/>
    <w:rsid w:val="00193D5F"/>
    <w:rsid w:val="001945A0"/>
    <w:rsid w:val="00194A39"/>
    <w:rsid w:val="001957FB"/>
    <w:rsid w:val="0019639E"/>
    <w:rsid w:val="001A0059"/>
    <w:rsid w:val="001A30D1"/>
    <w:rsid w:val="001A3538"/>
    <w:rsid w:val="001A43DD"/>
    <w:rsid w:val="001A54CF"/>
    <w:rsid w:val="001A7147"/>
    <w:rsid w:val="001A7422"/>
    <w:rsid w:val="001B0A3E"/>
    <w:rsid w:val="001B1636"/>
    <w:rsid w:val="001B26E2"/>
    <w:rsid w:val="001B2F9F"/>
    <w:rsid w:val="001B4707"/>
    <w:rsid w:val="001B4B87"/>
    <w:rsid w:val="001B50E3"/>
    <w:rsid w:val="001B5807"/>
    <w:rsid w:val="001B64A3"/>
    <w:rsid w:val="001C5D62"/>
    <w:rsid w:val="001C5E0F"/>
    <w:rsid w:val="001C5E3F"/>
    <w:rsid w:val="001C62B8"/>
    <w:rsid w:val="001C6317"/>
    <w:rsid w:val="001D016D"/>
    <w:rsid w:val="001D0B6E"/>
    <w:rsid w:val="001D1F21"/>
    <w:rsid w:val="001D24FF"/>
    <w:rsid w:val="001D265F"/>
    <w:rsid w:val="001D3435"/>
    <w:rsid w:val="001D46FA"/>
    <w:rsid w:val="001E12E1"/>
    <w:rsid w:val="001E143D"/>
    <w:rsid w:val="001E14DA"/>
    <w:rsid w:val="001E172C"/>
    <w:rsid w:val="001E18BE"/>
    <w:rsid w:val="001E1E2E"/>
    <w:rsid w:val="001E2842"/>
    <w:rsid w:val="001E3052"/>
    <w:rsid w:val="001E5709"/>
    <w:rsid w:val="001E5917"/>
    <w:rsid w:val="001F09D5"/>
    <w:rsid w:val="001F26D7"/>
    <w:rsid w:val="001F3A34"/>
    <w:rsid w:val="001F439F"/>
    <w:rsid w:val="001F4588"/>
    <w:rsid w:val="001F51DF"/>
    <w:rsid w:val="001F5CFF"/>
    <w:rsid w:val="00200AA0"/>
    <w:rsid w:val="00200E6E"/>
    <w:rsid w:val="002011A1"/>
    <w:rsid w:val="00201D70"/>
    <w:rsid w:val="002023A0"/>
    <w:rsid w:val="00203A65"/>
    <w:rsid w:val="002063F7"/>
    <w:rsid w:val="0020684F"/>
    <w:rsid w:val="00206E13"/>
    <w:rsid w:val="002073BE"/>
    <w:rsid w:val="002104DE"/>
    <w:rsid w:val="0021064C"/>
    <w:rsid w:val="00210683"/>
    <w:rsid w:val="00210E59"/>
    <w:rsid w:val="00210EF8"/>
    <w:rsid w:val="002111F9"/>
    <w:rsid w:val="00212B89"/>
    <w:rsid w:val="002146DC"/>
    <w:rsid w:val="0021524C"/>
    <w:rsid w:val="0021658F"/>
    <w:rsid w:val="0021676D"/>
    <w:rsid w:val="0021693F"/>
    <w:rsid w:val="00222D20"/>
    <w:rsid w:val="00225045"/>
    <w:rsid w:val="00225ADA"/>
    <w:rsid w:val="00225C59"/>
    <w:rsid w:val="00227495"/>
    <w:rsid w:val="00227A02"/>
    <w:rsid w:val="00227B6B"/>
    <w:rsid w:val="00227E30"/>
    <w:rsid w:val="00230A3A"/>
    <w:rsid w:val="00232487"/>
    <w:rsid w:val="00232636"/>
    <w:rsid w:val="00232EDE"/>
    <w:rsid w:val="00233056"/>
    <w:rsid w:val="00233862"/>
    <w:rsid w:val="00233DEA"/>
    <w:rsid w:val="00234B0F"/>
    <w:rsid w:val="00235508"/>
    <w:rsid w:val="0023679C"/>
    <w:rsid w:val="002367CC"/>
    <w:rsid w:val="00237C80"/>
    <w:rsid w:val="0024028E"/>
    <w:rsid w:val="00240C1D"/>
    <w:rsid w:val="0024181A"/>
    <w:rsid w:val="00242199"/>
    <w:rsid w:val="00242A68"/>
    <w:rsid w:val="002436CF"/>
    <w:rsid w:val="002441B3"/>
    <w:rsid w:val="00244A22"/>
    <w:rsid w:val="00244F3E"/>
    <w:rsid w:val="002451B9"/>
    <w:rsid w:val="00245C11"/>
    <w:rsid w:val="002468A6"/>
    <w:rsid w:val="0025018C"/>
    <w:rsid w:val="002507A0"/>
    <w:rsid w:val="00251FED"/>
    <w:rsid w:val="0025200E"/>
    <w:rsid w:val="002520CC"/>
    <w:rsid w:val="002524B1"/>
    <w:rsid w:val="002532F3"/>
    <w:rsid w:val="00253A32"/>
    <w:rsid w:val="00254CEB"/>
    <w:rsid w:val="00255D4B"/>
    <w:rsid w:val="00255DB0"/>
    <w:rsid w:val="002562AD"/>
    <w:rsid w:val="00256692"/>
    <w:rsid w:val="00256B2D"/>
    <w:rsid w:val="00260A92"/>
    <w:rsid w:val="00261E41"/>
    <w:rsid w:val="002649E1"/>
    <w:rsid w:val="0027012B"/>
    <w:rsid w:val="00270C71"/>
    <w:rsid w:val="00270DA7"/>
    <w:rsid w:val="002719F1"/>
    <w:rsid w:val="00272551"/>
    <w:rsid w:val="00275274"/>
    <w:rsid w:val="00277B67"/>
    <w:rsid w:val="00277E4B"/>
    <w:rsid w:val="002801CE"/>
    <w:rsid w:val="00280593"/>
    <w:rsid w:val="0028120E"/>
    <w:rsid w:val="00281594"/>
    <w:rsid w:val="00281CB0"/>
    <w:rsid w:val="002843AC"/>
    <w:rsid w:val="00284FA5"/>
    <w:rsid w:val="00287177"/>
    <w:rsid w:val="00291A2A"/>
    <w:rsid w:val="00292579"/>
    <w:rsid w:val="0029333C"/>
    <w:rsid w:val="0029342D"/>
    <w:rsid w:val="00294822"/>
    <w:rsid w:val="00294C9E"/>
    <w:rsid w:val="002950EF"/>
    <w:rsid w:val="002951A8"/>
    <w:rsid w:val="00296B63"/>
    <w:rsid w:val="00296EA6"/>
    <w:rsid w:val="00296FCF"/>
    <w:rsid w:val="0029733D"/>
    <w:rsid w:val="002977AD"/>
    <w:rsid w:val="00297D1F"/>
    <w:rsid w:val="002A049F"/>
    <w:rsid w:val="002A0774"/>
    <w:rsid w:val="002A1D59"/>
    <w:rsid w:val="002A213A"/>
    <w:rsid w:val="002A3493"/>
    <w:rsid w:val="002A3AB9"/>
    <w:rsid w:val="002A4AB7"/>
    <w:rsid w:val="002A4CDA"/>
    <w:rsid w:val="002A5B89"/>
    <w:rsid w:val="002A754A"/>
    <w:rsid w:val="002B1241"/>
    <w:rsid w:val="002B1918"/>
    <w:rsid w:val="002B3878"/>
    <w:rsid w:val="002B3BBA"/>
    <w:rsid w:val="002B3E8D"/>
    <w:rsid w:val="002B49DB"/>
    <w:rsid w:val="002B5B04"/>
    <w:rsid w:val="002B7914"/>
    <w:rsid w:val="002C1C9E"/>
    <w:rsid w:val="002C2483"/>
    <w:rsid w:val="002C425A"/>
    <w:rsid w:val="002C5B7B"/>
    <w:rsid w:val="002C60DF"/>
    <w:rsid w:val="002C6518"/>
    <w:rsid w:val="002C6E73"/>
    <w:rsid w:val="002D1F7F"/>
    <w:rsid w:val="002D25AA"/>
    <w:rsid w:val="002D462C"/>
    <w:rsid w:val="002D586D"/>
    <w:rsid w:val="002D5F9C"/>
    <w:rsid w:val="002D6DCD"/>
    <w:rsid w:val="002E0EB2"/>
    <w:rsid w:val="002E1E0B"/>
    <w:rsid w:val="002E21B7"/>
    <w:rsid w:val="002E36B6"/>
    <w:rsid w:val="002E3CCD"/>
    <w:rsid w:val="002E3D68"/>
    <w:rsid w:val="002E3E05"/>
    <w:rsid w:val="002E4738"/>
    <w:rsid w:val="002E5A68"/>
    <w:rsid w:val="002E5ADC"/>
    <w:rsid w:val="002F1161"/>
    <w:rsid w:val="002F134D"/>
    <w:rsid w:val="002F21DD"/>
    <w:rsid w:val="002F2660"/>
    <w:rsid w:val="002F4354"/>
    <w:rsid w:val="002F59E6"/>
    <w:rsid w:val="002F5E2B"/>
    <w:rsid w:val="002F6519"/>
    <w:rsid w:val="0030130E"/>
    <w:rsid w:val="00301F89"/>
    <w:rsid w:val="00302C27"/>
    <w:rsid w:val="0030333C"/>
    <w:rsid w:val="0030366A"/>
    <w:rsid w:val="003043C2"/>
    <w:rsid w:val="00304CEC"/>
    <w:rsid w:val="00305E10"/>
    <w:rsid w:val="00306892"/>
    <w:rsid w:val="00306A83"/>
    <w:rsid w:val="003115FD"/>
    <w:rsid w:val="00312964"/>
    <w:rsid w:val="00312FCA"/>
    <w:rsid w:val="00313BDC"/>
    <w:rsid w:val="00315719"/>
    <w:rsid w:val="003177DF"/>
    <w:rsid w:val="00317C87"/>
    <w:rsid w:val="003230C6"/>
    <w:rsid w:val="00323421"/>
    <w:rsid w:val="00324199"/>
    <w:rsid w:val="0032421C"/>
    <w:rsid w:val="003265B3"/>
    <w:rsid w:val="00327063"/>
    <w:rsid w:val="00330A46"/>
    <w:rsid w:val="003322CB"/>
    <w:rsid w:val="003343A3"/>
    <w:rsid w:val="00334403"/>
    <w:rsid w:val="00334553"/>
    <w:rsid w:val="003351C0"/>
    <w:rsid w:val="0033632F"/>
    <w:rsid w:val="003368EC"/>
    <w:rsid w:val="003369AB"/>
    <w:rsid w:val="003369AE"/>
    <w:rsid w:val="00340234"/>
    <w:rsid w:val="0034080D"/>
    <w:rsid w:val="00342EEA"/>
    <w:rsid w:val="00344149"/>
    <w:rsid w:val="00345269"/>
    <w:rsid w:val="0034597E"/>
    <w:rsid w:val="00345D9D"/>
    <w:rsid w:val="003462F7"/>
    <w:rsid w:val="003466D0"/>
    <w:rsid w:val="0035066A"/>
    <w:rsid w:val="003506EA"/>
    <w:rsid w:val="00350EDC"/>
    <w:rsid w:val="00350FC3"/>
    <w:rsid w:val="00353015"/>
    <w:rsid w:val="003531A4"/>
    <w:rsid w:val="00353BF9"/>
    <w:rsid w:val="00353CB2"/>
    <w:rsid w:val="00354328"/>
    <w:rsid w:val="00355759"/>
    <w:rsid w:val="0035721F"/>
    <w:rsid w:val="00357552"/>
    <w:rsid w:val="00357B20"/>
    <w:rsid w:val="00360994"/>
    <w:rsid w:val="00361242"/>
    <w:rsid w:val="0036160F"/>
    <w:rsid w:val="00365595"/>
    <w:rsid w:val="00367883"/>
    <w:rsid w:val="00367E93"/>
    <w:rsid w:val="00370967"/>
    <w:rsid w:val="00371E47"/>
    <w:rsid w:val="003723F8"/>
    <w:rsid w:val="0037294C"/>
    <w:rsid w:val="003733CD"/>
    <w:rsid w:val="00374BD6"/>
    <w:rsid w:val="003771FD"/>
    <w:rsid w:val="0037749A"/>
    <w:rsid w:val="00380F20"/>
    <w:rsid w:val="003811C0"/>
    <w:rsid w:val="0038154E"/>
    <w:rsid w:val="00383946"/>
    <w:rsid w:val="00384FD4"/>
    <w:rsid w:val="00385CB0"/>
    <w:rsid w:val="00387298"/>
    <w:rsid w:val="00390239"/>
    <w:rsid w:val="003903BE"/>
    <w:rsid w:val="00391F91"/>
    <w:rsid w:val="00394651"/>
    <w:rsid w:val="00394B3F"/>
    <w:rsid w:val="003959F9"/>
    <w:rsid w:val="003969E2"/>
    <w:rsid w:val="00396A7A"/>
    <w:rsid w:val="003975D3"/>
    <w:rsid w:val="00397C7E"/>
    <w:rsid w:val="003A0255"/>
    <w:rsid w:val="003A0677"/>
    <w:rsid w:val="003A0E5F"/>
    <w:rsid w:val="003A2277"/>
    <w:rsid w:val="003A2578"/>
    <w:rsid w:val="003A37E1"/>
    <w:rsid w:val="003A3A75"/>
    <w:rsid w:val="003A3E7B"/>
    <w:rsid w:val="003A3F3F"/>
    <w:rsid w:val="003A45FF"/>
    <w:rsid w:val="003A54CC"/>
    <w:rsid w:val="003A5587"/>
    <w:rsid w:val="003A5952"/>
    <w:rsid w:val="003A6D59"/>
    <w:rsid w:val="003A78FD"/>
    <w:rsid w:val="003B1DA3"/>
    <w:rsid w:val="003B293A"/>
    <w:rsid w:val="003B33E2"/>
    <w:rsid w:val="003B39E1"/>
    <w:rsid w:val="003B3B66"/>
    <w:rsid w:val="003B5986"/>
    <w:rsid w:val="003B64D3"/>
    <w:rsid w:val="003B6CA5"/>
    <w:rsid w:val="003B7E6E"/>
    <w:rsid w:val="003C1956"/>
    <w:rsid w:val="003C1BBE"/>
    <w:rsid w:val="003C2468"/>
    <w:rsid w:val="003C2BDC"/>
    <w:rsid w:val="003C426F"/>
    <w:rsid w:val="003C55A2"/>
    <w:rsid w:val="003D063C"/>
    <w:rsid w:val="003D09F7"/>
    <w:rsid w:val="003D1521"/>
    <w:rsid w:val="003D3A52"/>
    <w:rsid w:val="003D5F50"/>
    <w:rsid w:val="003D788F"/>
    <w:rsid w:val="003E05C9"/>
    <w:rsid w:val="003E1263"/>
    <w:rsid w:val="003E13B8"/>
    <w:rsid w:val="003E1AD6"/>
    <w:rsid w:val="003E2C1F"/>
    <w:rsid w:val="003E3DB5"/>
    <w:rsid w:val="003E43D7"/>
    <w:rsid w:val="003E509B"/>
    <w:rsid w:val="003E587D"/>
    <w:rsid w:val="003E6EF7"/>
    <w:rsid w:val="003E73C6"/>
    <w:rsid w:val="003F07F6"/>
    <w:rsid w:val="003F17B9"/>
    <w:rsid w:val="003F2DB2"/>
    <w:rsid w:val="003F2EE3"/>
    <w:rsid w:val="003F4A26"/>
    <w:rsid w:val="003F5A60"/>
    <w:rsid w:val="003F6421"/>
    <w:rsid w:val="003F72A9"/>
    <w:rsid w:val="003F790E"/>
    <w:rsid w:val="00401264"/>
    <w:rsid w:val="00401D83"/>
    <w:rsid w:val="004040C0"/>
    <w:rsid w:val="00404471"/>
    <w:rsid w:val="00404E1B"/>
    <w:rsid w:val="004059E3"/>
    <w:rsid w:val="004064D4"/>
    <w:rsid w:val="004109D7"/>
    <w:rsid w:val="00411035"/>
    <w:rsid w:val="004113FA"/>
    <w:rsid w:val="0041193C"/>
    <w:rsid w:val="00411A7F"/>
    <w:rsid w:val="00412253"/>
    <w:rsid w:val="0041253D"/>
    <w:rsid w:val="00413A47"/>
    <w:rsid w:val="00420D01"/>
    <w:rsid w:val="00420EE8"/>
    <w:rsid w:val="00422439"/>
    <w:rsid w:val="00423181"/>
    <w:rsid w:val="00423AEB"/>
    <w:rsid w:val="00423B1D"/>
    <w:rsid w:val="0042469C"/>
    <w:rsid w:val="004248C4"/>
    <w:rsid w:val="00424AAF"/>
    <w:rsid w:val="00424AD2"/>
    <w:rsid w:val="00426456"/>
    <w:rsid w:val="00427050"/>
    <w:rsid w:val="00427B24"/>
    <w:rsid w:val="004304AC"/>
    <w:rsid w:val="004312DC"/>
    <w:rsid w:val="004313C7"/>
    <w:rsid w:val="00431D41"/>
    <w:rsid w:val="00431DE4"/>
    <w:rsid w:val="00432F38"/>
    <w:rsid w:val="00433657"/>
    <w:rsid w:val="00434261"/>
    <w:rsid w:val="004355F5"/>
    <w:rsid w:val="0043564F"/>
    <w:rsid w:val="00440912"/>
    <w:rsid w:val="004435EE"/>
    <w:rsid w:val="0044406D"/>
    <w:rsid w:val="00444129"/>
    <w:rsid w:val="004443CF"/>
    <w:rsid w:val="00445484"/>
    <w:rsid w:val="004454E6"/>
    <w:rsid w:val="0044744F"/>
    <w:rsid w:val="00447572"/>
    <w:rsid w:val="00450015"/>
    <w:rsid w:val="00450C5A"/>
    <w:rsid w:val="004511A3"/>
    <w:rsid w:val="00451876"/>
    <w:rsid w:val="00451889"/>
    <w:rsid w:val="00451EFE"/>
    <w:rsid w:val="00453999"/>
    <w:rsid w:val="00454795"/>
    <w:rsid w:val="00454BCF"/>
    <w:rsid w:val="004553E3"/>
    <w:rsid w:val="004556B8"/>
    <w:rsid w:val="0045623D"/>
    <w:rsid w:val="0045715F"/>
    <w:rsid w:val="0046133B"/>
    <w:rsid w:val="00461A69"/>
    <w:rsid w:val="0046266D"/>
    <w:rsid w:val="004650C0"/>
    <w:rsid w:val="00465B62"/>
    <w:rsid w:val="0046640C"/>
    <w:rsid w:val="004668D0"/>
    <w:rsid w:val="004669AE"/>
    <w:rsid w:val="0047064D"/>
    <w:rsid w:val="00471A6E"/>
    <w:rsid w:val="00471ACD"/>
    <w:rsid w:val="00471D49"/>
    <w:rsid w:val="004723C5"/>
    <w:rsid w:val="0047284D"/>
    <w:rsid w:val="004734C5"/>
    <w:rsid w:val="0047365A"/>
    <w:rsid w:val="00473DAB"/>
    <w:rsid w:val="00476CEE"/>
    <w:rsid w:val="00480490"/>
    <w:rsid w:val="004811C6"/>
    <w:rsid w:val="004817C2"/>
    <w:rsid w:val="00483BE9"/>
    <w:rsid w:val="00484056"/>
    <w:rsid w:val="0048458E"/>
    <w:rsid w:val="00484B57"/>
    <w:rsid w:val="00486056"/>
    <w:rsid w:val="004876F5"/>
    <w:rsid w:val="00487E1C"/>
    <w:rsid w:val="004902C0"/>
    <w:rsid w:val="00490775"/>
    <w:rsid w:val="004908A9"/>
    <w:rsid w:val="00491B12"/>
    <w:rsid w:val="0049204D"/>
    <w:rsid w:val="0049232F"/>
    <w:rsid w:val="00493F14"/>
    <w:rsid w:val="00494B0D"/>
    <w:rsid w:val="00494BE1"/>
    <w:rsid w:val="00494E6B"/>
    <w:rsid w:val="00494F15"/>
    <w:rsid w:val="00495477"/>
    <w:rsid w:val="00496A88"/>
    <w:rsid w:val="004A3FC6"/>
    <w:rsid w:val="004A437F"/>
    <w:rsid w:val="004A44B7"/>
    <w:rsid w:val="004A498F"/>
    <w:rsid w:val="004A5AEB"/>
    <w:rsid w:val="004A5D4D"/>
    <w:rsid w:val="004A68FB"/>
    <w:rsid w:val="004A6C72"/>
    <w:rsid w:val="004A7165"/>
    <w:rsid w:val="004B184A"/>
    <w:rsid w:val="004B29D7"/>
    <w:rsid w:val="004B50C0"/>
    <w:rsid w:val="004B6A40"/>
    <w:rsid w:val="004C07CE"/>
    <w:rsid w:val="004C08C0"/>
    <w:rsid w:val="004C1258"/>
    <w:rsid w:val="004C1891"/>
    <w:rsid w:val="004C1C9C"/>
    <w:rsid w:val="004C288D"/>
    <w:rsid w:val="004C3583"/>
    <w:rsid w:val="004C37C3"/>
    <w:rsid w:val="004C47BC"/>
    <w:rsid w:val="004C4D82"/>
    <w:rsid w:val="004C6D9D"/>
    <w:rsid w:val="004D093A"/>
    <w:rsid w:val="004D1C10"/>
    <w:rsid w:val="004D1E5E"/>
    <w:rsid w:val="004D4405"/>
    <w:rsid w:val="004D455F"/>
    <w:rsid w:val="004D51C5"/>
    <w:rsid w:val="004E1A0C"/>
    <w:rsid w:val="004E1A55"/>
    <w:rsid w:val="004E24CC"/>
    <w:rsid w:val="004E30C6"/>
    <w:rsid w:val="004E5C93"/>
    <w:rsid w:val="004E6304"/>
    <w:rsid w:val="004E63D9"/>
    <w:rsid w:val="004E662E"/>
    <w:rsid w:val="004E6DA2"/>
    <w:rsid w:val="004E6DB4"/>
    <w:rsid w:val="004E7064"/>
    <w:rsid w:val="004E7A86"/>
    <w:rsid w:val="004F015F"/>
    <w:rsid w:val="004F07FD"/>
    <w:rsid w:val="004F0F6F"/>
    <w:rsid w:val="004F11A0"/>
    <w:rsid w:val="004F16E6"/>
    <w:rsid w:val="004F1F32"/>
    <w:rsid w:val="004F31CD"/>
    <w:rsid w:val="004F4182"/>
    <w:rsid w:val="004F560B"/>
    <w:rsid w:val="004F5B9C"/>
    <w:rsid w:val="00500EBA"/>
    <w:rsid w:val="0050242F"/>
    <w:rsid w:val="005028F1"/>
    <w:rsid w:val="0050349F"/>
    <w:rsid w:val="00503657"/>
    <w:rsid w:val="005042FB"/>
    <w:rsid w:val="00504963"/>
    <w:rsid w:val="00504A19"/>
    <w:rsid w:val="00504BE0"/>
    <w:rsid w:val="00505BE0"/>
    <w:rsid w:val="00506E70"/>
    <w:rsid w:val="00507287"/>
    <w:rsid w:val="005072CF"/>
    <w:rsid w:val="005078B2"/>
    <w:rsid w:val="00507E4C"/>
    <w:rsid w:val="0051141A"/>
    <w:rsid w:val="005123E7"/>
    <w:rsid w:val="005128D7"/>
    <w:rsid w:val="00513394"/>
    <w:rsid w:val="005153A2"/>
    <w:rsid w:val="00517029"/>
    <w:rsid w:val="00517086"/>
    <w:rsid w:val="0051714E"/>
    <w:rsid w:val="00517347"/>
    <w:rsid w:val="00520627"/>
    <w:rsid w:val="0052105A"/>
    <w:rsid w:val="00521CA0"/>
    <w:rsid w:val="005225A5"/>
    <w:rsid w:val="00522D20"/>
    <w:rsid w:val="005233CF"/>
    <w:rsid w:val="00523C4C"/>
    <w:rsid w:val="0052514C"/>
    <w:rsid w:val="00525353"/>
    <w:rsid w:val="005261CB"/>
    <w:rsid w:val="00526463"/>
    <w:rsid w:val="00526741"/>
    <w:rsid w:val="00531B64"/>
    <w:rsid w:val="005334F9"/>
    <w:rsid w:val="005336B9"/>
    <w:rsid w:val="00533762"/>
    <w:rsid w:val="0053467B"/>
    <w:rsid w:val="00534B17"/>
    <w:rsid w:val="0053565A"/>
    <w:rsid w:val="00535EB4"/>
    <w:rsid w:val="005367D2"/>
    <w:rsid w:val="005370B7"/>
    <w:rsid w:val="00537ABA"/>
    <w:rsid w:val="00537FEF"/>
    <w:rsid w:val="005422CA"/>
    <w:rsid w:val="00543140"/>
    <w:rsid w:val="005439A3"/>
    <w:rsid w:val="00543D09"/>
    <w:rsid w:val="00545D50"/>
    <w:rsid w:val="00546607"/>
    <w:rsid w:val="005501CA"/>
    <w:rsid w:val="00550E45"/>
    <w:rsid w:val="00551AC9"/>
    <w:rsid w:val="005520FB"/>
    <w:rsid w:val="0055304B"/>
    <w:rsid w:val="005534C4"/>
    <w:rsid w:val="005538A4"/>
    <w:rsid w:val="00553E7B"/>
    <w:rsid w:val="00556BF3"/>
    <w:rsid w:val="00556EE7"/>
    <w:rsid w:val="005600B8"/>
    <w:rsid w:val="00563668"/>
    <w:rsid w:val="005663CA"/>
    <w:rsid w:val="00566E4F"/>
    <w:rsid w:val="00567211"/>
    <w:rsid w:val="00567710"/>
    <w:rsid w:val="0057003A"/>
    <w:rsid w:val="00570712"/>
    <w:rsid w:val="00570AAD"/>
    <w:rsid w:val="00570C93"/>
    <w:rsid w:val="005731FB"/>
    <w:rsid w:val="00573508"/>
    <w:rsid w:val="00575CED"/>
    <w:rsid w:val="0057600B"/>
    <w:rsid w:val="0057762D"/>
    <w:rsid w:val="005806AE"/>
    <w:rsid w:val="00580904"/>
    <w:rsid w:val="00581DC5"/>
    <w:rsid w:val="00581EEB"/>
    <w:rsid w:val="0058201D"/>
    <w:rsid w:val="005823A7"/>
    <w:rsid w:val="00582407"/>
    <w:rsid w:val="00582A18"/>
    <w:rsid w:val="00583147"/>
    <w:rsid w:val="00583D9F"/>
    <w:rsid w:val="00586503"/>
    <w:rsid w:val="00587AF3"/>
    <w:rsid w:val="00591FB2"/>
    <w:rsid w:val="00592064"/>
    <w:rsid w:val="005920CC"/>
    <w:rsid w:val="00592118"/>
    <w:rsid w:val="0059228F"/>
    <w:rsid w:val="005938BA"/>
    <w:rsid w:val="00595153"/>
    <w:rsid w:val="00595BE5"/>
    <w:rsid w:val="00596874"/>
    <w:rsid w:val="005A0544"/>
    <w:rsid w:val="005A10FC"/>
    <w:rsid w:val="005A188C"/>
    <w:rsid w:val="005A1BBF"/>
    <w:rsid w:val="005A1BE3"/>
    <w:rsid w:val="005A2952"/>
    <w:rsid w:val="005A2E99"/>
    <w:rsid w:val="005A4192"/>
    <w:rsid w:val="005A4481"/>
    <w:rsid w:val="005A585D"/>
    <w:rsid w:val="005A6515"/>
    <w:rsid w:val="005A6CB9"/>
    <w:rsid w:val="005A7428"/>
    <w:rsid w:val="005A7A33"/>
    <w:rsid w:val="005B1F8F"/>
    <w:rsid w:val="005B22B5"/>
    <w:rsid w:val="005B2B22"/>
    <w:rsid w:val="005B346D"/>
    <w:rsid w:val="005B5489"/>
    <w:rsid w:val="005B79E2"/>
    <w:rsid w:val="005C1C45"/>
    <w:rsid w:val="005C1DB9"/>
    <w:rsid w:val="005C674D"/>
    <w:rsid w:val="005C72B1"/>
    <w:rsid w:val="005D02ED"/>
    <w:rsid w:val="005D07EE"/>
    <w:rsid w:val="005D2012"/>
    <w:rsid w:val="005D4301"/>
    <w:rsid w:val="005D5001"/>
    <w:rsid w:val="005D5FF5"/>
    <w:rsid w:val="005D7301"/>
    <w:rsid w:val="005D754B"/>
    <w:rsid w:val="005D7C7D"/>
    <w:rsid w:val="005D7F03"/>
    <w:rsid w:val="005E0271"/>
    <w:rsid w:val="005E15CA"/>
    <w:rsid w:val="005E168B"/>
    <w:rsid w:val="005E4245"/>
    <w:rsid w:val="005E4255"/>
    <w:rsid w:val="005E496C"/>
    <w:rsid w:val="005E530C"/>
    <w:rsid w:val="005E72C8"/>
    <w:rsid w:val="005F0BF5"/>
    <w:rsid w:val="005F2995"/>
    <w:rsid w:val="005F2A21"/>
    <w:rsid w:val="005F2C93"/>
    <w:rsid w:val="005F2FC4"/>
    <w:rsid w:val="005F33AC"/>
    <w:rsid w:val="005F3A6A"/>
    <w:rsid w:val="005F3ACE"/>
    <w:rsid w:val="005F3F37"/>
    <w:rsid w:val="005F59B2"/>
    <w:rsid w:val="005F74FF"/>
    <w:rsid w:val="005F7516"/>
    <w:rsid w:val="005F7D66"/>
    <w:rsid w:val="006008C0"/>
    <w:rsid w:val="00600A38"/>
    <w:rsid w:val="00600F62"/>
    <w:rsid w:val="00601056"/>
    <w:rsid w:val="00601515"/>
    <w:rsid w:val="00601571"/>
    <w:rsid w:val="006017B0"/>
    <w:rsid w:val="00601CD7"/>
    <w:rsid w:val="006021D1"/>
    <w:rsid w:val="00602B1F"/>
    <w:rsid w:val="00603607"/>
    <w:rsid w:val="00603D44"/>
    <w:rsid w:val="0060479B"/>
    <w:rsid w:val="0060744F"/>
    <w:rsid w:val="006079BC"/>
    <w:rsid w:val="00611535"/>
    <w:rsid w:val="00612E08"/>
    <w:rsid w:val="00614D4F"/>
    <w:rsid w:val="006161F4"/>
    <w:rsid w:val="006163E7"/>
    <w:rsid w:val="00617775"/>
    <w:rsid w:val="0062049F"/>
    <w:rsid w:val="00620FB9"/>
    <w:rsid w:val="00624A41"/>
    <w:rsid w:val="0062612C"/>
    <w:rsid w:val="006304FC"/>
    <w:rsid w:val="006320F9"/>
    <w:rsid w:val="00633B35"/>
    <w:rsid w:val="0063439B"/>
    <w:rsid w:val="0063583C"/>
    <w:rsid w:val="00636F13"/>
    <w:rsid w:val="00637338"/>
    <w:rsid w:val="00637AB8"/>
    <w:rsid w:val="00640321"/>
    <w:rsid w:val="00640565"/>
    <w:rsid w:val="00641E2E"/>
    <w:rsid w:val="00641EDB"/>
    <w:rsid w:val="00642881"/>
    <w:rsid w:val="0064311E"/>
    <w:rsid w:val="00643E7F"/>
    <w:rsid w:val="00644CAE"/>
    <w:rsid w:val="006457BF"/>
    <w:rsid w:val="0065001E"/>
    <w:rsid w:val="0065088A"/>
    <w:rsid w:val="0065183B"/>
    <w:rsid w:val="0065427B"/>
    <w:rsid w:val="006556A5"/>
    <w:rsid w:val="00655ACD"/>
    <w:rsid w:val="006562DA"/>
    <w:rsid w:val="006568D6"/>
    <w:rsid w:val="0065745D"/>
    <w:rsid w:val="00662880"/>
    <w:rsid w:val="00662F6E"/>
    <w:rsid w:val="0066349F"/>
    <w:rsid w:val="0066381A"/>
    <w:rsid w:val="00663BA4"/>
    <w:rsid w:val="006646B4"/>
    <w:rsid w:val="0066495A"/>
    <w:rsid w:val="00667F25"/>
    <w:rsid w:val="00670D00"/>
    <w:rsid w:val="006715E4"/>
    <w:rsid w:val="0067256C"/>
    <w:rsid w:val="00672646"/>
    <w:rsid w:val="00673059"/>
    <w:rsid w:val="0067308C"/>
    <w:rsid w:val="00673090"/>
    <w:rsid w:val="00673530"/>
    <w:rsid w:val="006736BB"/>
    <w:rsid w:val="006756E2"/>
    <w:rsid w:val="00675ACC"/>
    <w:rsid w:val="0068049D"/>
    <w:rsid w:val="00680E74"/>
    <w:rsid w:val="00683034"/>
    <w:rsid w:val="006837C4"/>
    <w:rsid w:val="00684D1D"/>
    <w:rsid w:val="006865BB"/>
    <w:rsid w:val="00686851"/>
    <w:rsid w:val="00687D3B"/>
    <w:rsid w:val="0069102C"/>
    <w:rsid w:val="00692486"/>
    <w:rsid w:val="00694162"/>
    <w:rsid w:val="0069542B"/>
    <w:rsid w:val="0069562D"/>
    <w:rsid w:val="00695BEB"/>
    <w:rsid w:val="00696605"/>
    <w:rsid w:val="006A06E0"/>
    <w:rsid w:val="006A22AD"/>
    <w:rsid w:val="006A44E6"/>
    <w:rsid w:val="006A4FE6"/>
    <w:rsid w:val="006A5A42"/>
    <w:rsid w:val="006A6C6A"/>
    <w:rsid w:val="006B04EE"/>
    <w:rsid w:val="006B2256"/>
    <w:rsid w:val="006B3DC4"/>
    <w:rsid w:val="006B43FB"/>
    <w:rsid w:val="006B5103"/>
    <w:rsid w:val="006B545E"/>
    <w:rsid w:val="006B5D02"/>
    <w:rsid w:val="006B6154"/>
    <w:rsid w:val="006B65E8"/>
    <w:rsid w:val="006B6664"/>
    <w:rsid w:val="006B6A01"/>
    <w:rsid w:val="006B6AA9"/>
    <w:rsid w:val="006B6BF4"/>
    <w:rsid w:val="006C0928"/>
    <w:rsid w:val="006C1959"/>
    <w:rsid w:val="006C2B75"/>
    <w:rsid w:val="006C3EBB"/>
    <w:rsid w:val="006C4185"/>
    <w:rsid w:val="006C47A0"/>
    <w:rsid w:val="006C4C35"/>
    <w:rsid w:val="006C6EF5"/>
    <w:rsid w:val="006D063B"/>
    <w:rsid w:val="006D39B2"/>
    <w:rsid w:val="006D3C8B"/>
    <w:rsid w:val="006D3D4F"/>
    <w:rsid w:val="006D3F6B"/>
    <w:rsid w:val="006D4F1A"/>
    <w:rsid w:val="006D52E2"/>
    <w:rsid w:val="006D569B"/>
    <w:rsid w:val="006D6087"/>
    <w:rsid w:val="006D6684"/>
    <w:rsid w:val="006D6BBB"/>
    <w:rsid w:val="006D6F73"/>
    <w:rsid w:val="006D70B9"/>
    <w:rsid w:val="006D7D90"/>
    <w:rsid w:val="006E28AA"/>
    <w:rsid w:val="006E4A85"/>
    <w:rsid w:val="006E74B2"/>
    <w:rsid w:val="006F0188"/>
    <w:rsid w:val="006F0A29"/>
    <w:rsid w:val="006F0C2E"/>
    <w:rsid w:val="006F167D"/>
    <w:rsid w:val="006F18D5"/>
    <w:rsid w:val="006F1F83"/>
    <w:rsid w:val="006F21E8"/>
    <w:rsid w:val="006F23BE"/>
    <w:rsid w:val="006F42A9"/>
    <w:rsid w:val="006F50EA"/>
    <w:rsid w:val="006F535A"/>
    <w:rsid w:val="006F57A6"/>
    <w:rsid w:val="006F69BF"/>
    <w:rsid w:val="006F6C6D"/>
    <w:rsid w:val="007002E9"/>
    <w:rsid w:val="0070102C"/>
    <w:rsid w:val="00701569"/>
    <w:rsid w:val="0070291B"/>
    <w:rsid w:val="007044FC"/>
    <w:rsid w:val="00706A1C"/>
    <w:rsid w:val="0070751A"/>
    <w:rsid w:val="00707A08"/>
    <w:rsid w:val="00711203"/>
    <w:rsid w:val="00711DD9"/>
    <w:rsid w:val="00713675"/>
    <w:rsid w:val="007139D1"/>
    <w:rsid w:val="00714164"/>
    <w:rsid w:val="00716A2E"/>
    <w:rsid w:val="00717ADE"/>
    <w:rsid w:val="0072037F"/>
    <w:rsid w:val="00723678"/>
    <w:rsid w:val="007238C9"/>
    <w:rsid w:val="0072505F"/>
    <w:rsid w:val="007255BB"/>
    <w:rsid w:val="007261BD"/>
    <w:rsid w:val="00726F7C"/>
    <w:rsid w:val="007277B7"/>
    <w:rsid w:val="0073088E"/>
    <w:rsid w:val="00733F89"/>
    <w:rsid w:val="0073409B"/>
    <w:rsid w:val="0073493B"/>
    <w:rsid w:val="00735270"/>
    <w:rsid w:val="00736542"/>
    <w:rsid w:val="00736F58"/>
    <w:rsid w:val="00737519"/>
    <w:rsid w:val="007414E2"/>
    <w:rsid w:val="0074367C"/>
    <w:rsid w:val="00745D5B"/>
    <w:rsid w:val="00746194"/>
    <w:rsid w:val="007466F5"/>
    <w:rsid w:val="00746D87"/>
    <w:rsid w:val="00747462"/>
    <w:rsid w:val="007504D9"/>
    <w:rsid w:val="00752917"/>
    <w:rsid w:val="00752C5E"/>
    <w:rsid w:val="0075384E"/>
    <w:rsid w:val="00754486"/>
    <w:rsid w:val="00754A94"/>
    <w:rsid w:val="00754B40"/>
    <w:rsid w:val="00756D04"/>
    <w:rsid w:val="00757D2A"/>
    <w:rsid w:val="00757E3E"/>
    <w:rsid w:val="007610FC"/>
    <w:rsid w:val="007616C3"/>
    <w:rsid w:val="00764204"/>
    <w:rsid w:val="007677A7"/>
    <w:rsid w:val="007704A0"/>
    <w:rsid w:val="007714D0"/>
    <w:rsid w:val="00771B17"/>
    <w:rsid w:val="0077228C"/>
    <w:rsid w:val="00772D1D"/>
    <w:rsid w:val="00775665"/>
    <w:rsid w:val="00775AB6"/>
    <w:rsid w:val="00776A36"/>
    <w:rsid w:val="00776FF8"/>
    <w:rsid w:val="00777CC8"/>
    <w:rsid w:val="00780298"/>
    <w:rsid w:val="007808FE"/>
    <w:rsid w:val="00781174"/>
    <w:rsid w:val="00781862"/>
    <w:rsid w:val="0078293D"/>
    <w:rsid w:val="00782C40"/>
    <w:rsid w:val="00783380"/>
    <w:rsid w:val="0078417B"/>
    <w:rsid w:val="00784966"/>
    <w:rsid w:val="00784D8B"/>
    <w:rsid w:val="00784E32"/>
    <w:rsid w:val="00786E48"/>
    <w:rsid w:val="00787AE9"/>
    <w:rsid w:val="00790F5E"/>
    <w:rsid w:val="0079241C"/>
    <w:rsid w:val="00792A7B"/>
    <w:rsid w:val="007932D1"/>
    <w:rsid w:val="007936D9"/>
    <w:rsid w:val="00793701"/>
    <w:rsid w:val="00793D0B"/>
    <w:rsid w:val="007959BB"/>
    <w:rsid w:val="00795C11"/>
    <w:rsid w:val="00797210"/>
    <w:rsid w:val="007A1784"/>
    <w:rsid w:val="007A18C0"/>
    <w:rsid w:val="007A29E6"/>
    <w:rsid w:val="007A3B37"/>
    <w:rsid w:val="007A432D"/>
    <w:rsid w:val="007A61C9"/>
    <w:rsid w:val="007A7044"/>
    <w:rsid w:val="007B0493"/>
    <w:rsid w:val="007B1529"/>
    <w:rsid w:val="007B1D2A"/>
    <w:rsid w:val="007B2768"/>
    <w:rsid w:val="007B2BEF"/>
    <w:rsid w:val="007B33A6"/>
    <w:rsid w:val="007B3B95"/>
    <w:rsid w:val="007B3F5D"/>
    <w:rsid w:val="007B4A0D"/>
    <w:rsid w:val="007B4AB0"/>
    <w:rsid w:val="007B4B22"/>
    <w:rsid w:val="007B6AB3"/>
    <w:rsid w:val="007B7B47"/>
    <w:rsid w:val="007C0447"/>
    <w:rsid w:val="007C1194"/>
    <w:rsid w:val="007C1D05"/>
    <w:rsid w:val="007C20F4"/>
    <w:rsid w:val="007C30F5"/>
    <w:rsid w:val="007C33A6"/>
    <w:rsid w:val="007C5C8C"/>
    <w:rsid w:val="007C7968"/>
    <w:rsid w:val="007C7EBB"/>
    <w:rsid w:val="007D0D4C"/>
    <w:rsid w:val="007D21E1"/>
    <w:rsid w:val="007D356D"/>
    <w:rsid w:val="007D535F"/>
    <w:rsid w:val="007D5389"/>
    <w:rsid w:val="007D551C"/>
    <w:rsid w:val="007D59AE"/>
    <w:rsid w:val="007D5F7D"/>
    <w:rsid w:val="007D67B9"/>
    <w:rsid w:val="007D6981"/>
    <w:rsid w:val="007D73B9"/>
    <w:rsid w:val="007D7A19"/>
    <w:rsid w:val="007E053B"/>
    <w:rsid w:val="007E18CF"/>
    <w:rsid w:val="007E1BFA"/>
    <w:rsid w:val="007E1F96"/>
    <w:rsid w:val="007E2177"/>
    <w:rsid w:val="007E3880"/>
    <w:rsid w:val="007E45B2"/>
    <w:rsid w:val="007E548A"/>
    <w:rsid w:val="007E56CD"/>
    <w:rsid w:val="007E72A6"/>
    <w:rsid w:val="007E7D42"/>
    <w:rsid w:val="007F0583"/>
    <w:rsid w:val="007F0758"/>
    <w:rsid w:val="007F1C1F"/>
    <w:rsid w:val="007F3758"/>
    <w:rsid w:val="007F3AAC"/>
    <w:rsid w:val="007F41B1"/>
    <w:rsid w:val="007F4B1E"/>
    <w:rsid w:val="007F527B"/>
    <w:rsid w:val="007F5360"/>
    <w:rsid w:val="007F7552"/>
    <w:rsid w:val="00800175"/>
    <w:rsid w:val="00800D2A"/>
    <w:rsid w:val="00801393"/>
    <w:rsid w:val="00802431"/>
    <w:rsid w:val="008029DB"/>
    <w:rsid w:val="00802AC7"/>
    <w:rsid w:val="00802EFD"/>
    <w:rsid w:val="00803224"/>
    <w:rsid w:val="00803544"/>
    <w:rsid w:val="00803860"/>
    <w:rsid w:val="00804897"/>
    <w:rsid w:val="00805024"/>
    <w:rsid w:val="008050B9"/>
    <w:rsid w:val="00805BF2"/>
    <w:rsid w:val="0080626D"/>
    <w:rsid w:val="00806642"/>
    <w:rsid w:val="00806C0F"/>
    <w:rsid w:val="00806E8B"/>
    <w:rsid w:val="00806F5E"/>
    <w:rsid w:val="00810079"/>
    <w:rsid w:val="00810391"/>
    <w:rsid w:val="008108A0"/>
    <w:rsid w:val="00810AED"/>
    <w:rsid w:val="008119A8"/>
    <w:rsid w:val="00811A9B"/>
    <w:rsid w:val="00812666"/>
    <w:rsid w:val="00813833"/>
    <w:rsid w:val="008149C8"/>
    <w:rsid w:val="008154DA"/>
    <w:rsid w:val="00815874"/>
    <w:rsid w:val="00815AE9"/>
    <w:rsid w:val="008163BD"/>
    <w:rsid w:val="0081718B"/>
    <w:rsid w:val="008172B6"/>
    <w:rsid w:val="0082076E"/>
    <w:rsid w:val="008209DF"/>
    <w:rsid w:val="00820EF6"/>
    <w:rsid w:val="00823018"/>
    <w:rsid w:val="00823142"/>
    <w:rsid w:val="00823B6F"/>
    <w:rsid w:val="00824A2A"/>
    <w:rsid w:val="00831F9E"/>
    <w:rsid w:val="0083448D"/>
    <w:rsid w:val="00834AB5"/>
    <w:rsid w:val="00834C34"/>
    <w:rsid w:val="00834C81"/>
    <w:rsid w:val="00834E58"/>
    <w:rsid w:val="00835B64"/>
    <w:rsid w:val="00836704"/>
    <w:rsid w:val="0084168B"/>
    <w:rsid w:val="0084349F"/>
    <w:rsid w:val="00843783"/>
    <w:rsid w:val="00844083"/>
    <w:rsid w:val="00846581"/>
    <w:rsid w:val="0084681B"/>
    <w:rsid w:val="00847ADD"/>
    <w:rsid w:val="00847CF3"/>
    <w:rsid w:val="00852272"/>
    <w:rsid w:val="00854066"/>
    <w:rsid w:val="008542BF"/>
    <w:rsid w:val="00854547"/>
    <w:rsid w:val="00854EDB"/>
    <w:rsid w:val="0085567C"/>
    <w:rsid w:val="00855C66"/>
    <w:rsid w:val="0085726B"/>
    <w:rsid w:val="00857B55"/>
    <w:rsid w:val="00860300"/>
    <w:rsid w:val="008606C8"/>
    <w:rsid w:val="008644B0"/>
    <w:rsid w:val="00865143"/>
    <w:rsid w:val="00865A2B"/>
    <w:rsid w:val="008663F4"/>
    <w:rsid w:val="0086698B"/>
    <w:rsid w:val="00873A21"/>
    <w:rsid w:val="008744E0"/>
    <w:rsid w:val="00875A39"/>
    <w:rsid w:val="00880578"/>
    <w:rsid w:val="00881AFC"/>
    <w:rsid w:val="008822D4"/>
    <w:rsid w:val="00882555"/>
    <w:rsid w:val="0088285F"/>
    <w:rsid w:val="00883BF2"/>
    <w:rsid w:val="00883FB7"/>
    <w:rsid w:val="00884460"/>
    <w:rsid w:val="00885EDB"/>
    <w:rsid w:val="0088745E"/>
    <w:rsid w:val="008876C8"/>
    <w:rsid w:val="0088773A"/>
    <w:rsid w:val="008900FA"/>
    <w:rsid w:val="008907F7"/>
    <w:rsid w:val="0089280F"/>
    <w:rsid w:val="0089336F"/>
    <w:rsid w:val="00894442"/>
    <w:rsid w:val="008949EB"/>
    <w:rsid w:val="00894B8A"/>
    <w:rsid w:val="00894ED6"/>
    <w:rsid w:val="00895104"/>
    <w:rsid w:val="008957BA"/>
    <w:rsid w:val="00896B55"/>
    <w:rsid w:val="008A1769"/>
    <w:rsid w:val="008A1B42"/>
    <w:rsid w:val="008A2616"/>
    <w:rsid w:val="008A2CB5"/>
    <w:rsid w:val="008A2F25"/>
    <w:rsid w:val="008A33CB"/>
    <w:rsid w:val="008A3A85"/>
    <w:rsid w:val="008B0313"/>
    <w:rsid w:val="008B059E"/>
    <w:rsid w:val="008B23A8"/>
    <w:rsid w:val="008B4D8F"/>
    <w:rsid w:val="008B57BB"/>
    <w:rsid w:val="008B6954"/>
    <w:rsid w:val="008B6CE5"/>
    <w:rsid w:val="008B725D"/>
    <w:rsid w:val="008C0063"/>
    <w:rsid w:val="008C14D3"/>
    <w:rsid w:val="008C162B"/>
    <w:rsid w:val="008C2AB5"/>
    <w:rsid w:val="008C3966"/>
    <w:rsid w:val="008C3B46"/>
    <w:rsid w:val="008C3DEA"/>
    <w:rsid w:val="008C43E6"/>
    <w:rsid w:val="008C58C1"/>
    <w:rsid w:val="008C62A9"/>
    <w:rsid w:val="008D0B62"/>
    <w:rsid w:val="008D231E"/>
    <w:rsid w:val="008D25C0"/>
    <w:rsid w:val="008D4F4C"/>
    <w:rsid w:val="008D52BC"/>
    <w:rsid w:val="008D634F"/>
    <w:rsid w:val="008D6AB5"/>
    <w:rsid w:val="008D6AFC"/>
    <w:rsid w:val="008D6BB4"/>
    <w:rsid w:val="008E0206"/>
    <w:rsid w:val="008E2808"/>
    <w:rsid w:val="008E2FDE"/>
    <w:rsid w:val="008E398E"/>
    <w:rsid w:val="008E3D87"/>
    <w:rsid w:val="008E55C7"/>
    <w:rsid w:val="008E66A7"/>
    <w:rsid w:val="008E7C41"/>
    <w:rsid w:val="008F0D26"/>
    <w:rsid w:val="008F136C"/>
    <w:rsid w:val="008F18E2"/>
    <w:rsid w:val="008F24B0"/>
    <w:rsid w:val="008F4FC5"/>
    <w:rsid w:val="008F561B"/>
    <w:rsid w:val="008F77E0"/>
    <w:rsid w:val="00900891"/>
    <w:rsid w:val="00901E97"/>
    <w:rsid w:val="00902055"/>
    <w:rsid w:val="00902E5A"/>
    <w:rsid w:val="00903137"/>
    <w:rsid w:val="00904069"/>
    <w:rsid w:val="009040EA"/>
    <w:rsid w:val="009041F4"/>
    <w:rsid w:val="009045C5"/>
    <w:rsid w:val="00905102"/>
    <w:rsid w:val="009062C9"/>
    <w:rsid w:val="00907622"/>
    <w:rsid w:val="009105B8"/>
    <w:rsid w:val="009106CA"/>
    <w:rsid w:val="009107F1"/>
    <w:rsid w:val="0091122D"/>
    <w:rsid w:val="009115EA"/>
    <w:rsid w:val="00912AD1"/>
    <w:rsid w:val="00912EE2"/>
    <w:rsid w:val="009136C2"/>
    <w:rsid w:val="00914510"/>
    <w:rsid w:val="00914969"/>
    <w:rsid w:val="00916EF4"/>
    <w:rsid w:val="0091735D"/>
    <w:rsid w:val="009202F6"/>
    <w:rsid w:val="00921032"/>
    <w:rsid w:val="00921B4B"/>
    <w:rsid w:val="00921E29"/>
    <w:rsid w:val="00922B55"/>
    <w:rsid w:val="00924B00"/>
    <w:rsid w:val="00925326"/>
    <w:rsid w:val="0092576F"/>
    <w:rsid w:val="00925B76"/>
    <w:rsid w:val="009279A5"/>
    <w:rsid w:val="00927AA6"/>
    <w:rsid w:val="009306DA"/>
    <w:rsid w:val="00930B2B"/>
    <w:rsid w:val="009349A0"/>
    <w:rsid w:val="009363D0"/>
    <w:rsid w:val="00936EDB"/>
    <w:rsid w:val="0093761F"/>
    <w:rsid w:val="00937B6A"/>
    <w:rsid w:val="00937E73"/>
    <w:rsid w:val="009410B2"/>
    <w:rsid w:val="00941657"/>
    <w:rsid w:val="00942056"/>
    <w:rsid w:val="009431D6"/>
    <w:rsid w:val="00943A83"/>
    <w:rsid w:val="00943E6D"/>
    <w:rsid w:val="00944657"/>
    <w:rsid w:val="0094591A"/>
    <w:rsid w:val="00947830"/>
    <w:rsid w:val="009505C7"/>
    <w:rsid w:val="00950BE2"/>
    <w:rsid w:val="00951B37"/>
    <w:rsid w:val="009533C4"/>
    <w:rsid w:val="009537F4"/>
    <w:rsid w:val="0095436C"/>
    <w:rsid w:val="00956521"/>
    <w:rsid w:val="00956EB9"/>
    <w:rsid w:val="00956F2D"/>
    <w:rsid w:val="00957544"/>
    <w:rsid w:val="0096255D"/>
    <w:rsid w:val="00962A83"/>
    <w:rsid w:val="00964D34"/>
    <w:rsid w:val="00965050"/>
    <w:rsid w:val="0096507A"/>
    <w:rsid w:val="0096590F"/>
    <w:rsid w:val="009662E1"/>
    <w:rsid w:val="009664A6"/>
    <w:rsid w:val="00967460"/>
    <w:rsid w:val="0096758C"/>
    <w:rsid w:val="0097022F"/>
    <w:rsid w:val="009736C0"/>
    <w:rsid w:val="009736F2"/>
    <w:rsid w:val="00973B0F"/>
    <w:rsid w:val="00973E90"/>
    <w:rsid w:val="00974A97"/>
    <w:rsid w:val="00976D43"/>
    <w:rsid w:val="00977A37"/>
    <w:rsid w:val="00981EA7"/>
    <w:rsid w:val="009829F6"/>
    <w:rsid w:val="00982CF9"/>
    <w:rsid w:val="00984176"/>
    <w:rsid w:val="0098480C"/>
    <w:rsid w:val="0098620A"/>
    <w:rsid w:val="0098663E"/>
    <w:rsid w:val="00990B0C"/>
    <w:rsid w:val="00990B0D"/>
    <w:rsid w:val="00990FDD"/>
    <w:rsid w:val="009912B9"/>
    <w:rsid w:val="009915E3"/>
    <w:rsid w:val="009929C8"/>
    <w:rsid w:val="00992C38"/>
    <w:rsid w:val="00995109"/>
    <w:rsid w:val="009951C9"/>
    <w:rsid w:val="009956C0"/>
    <w:rsid w:val="00996741"/>
    <w:rsid w:val="00996A50"/>
    <w:rsid w:val="00996F71"/>
    <w:rsid w:val="0099719D"/>
    <w:rsid w:val="009A02E5"/>
    <w:rsid w:val="009A1CA5"/>
    <w:rsid w:val="009A2ECE"/>
    <w:rsid w:val="009A3827"/>
    <w:rsid w:val="009A3AFB"/>
    <w:rsid w:val="009A4457"/>
    <w:rsid w:val="009A4BBD"/>
    <w:rsid w:val="009A62EA"/>
    <w:rsid w:val="009A6B0F"/>
    <w:rsid w:val="009B0080"/>
    <w:rsid w:val="009B0C19"/>
    <w:rsid w:val="009B2AD5"/>
    <w:rsid w:val="009B3B5D"/>
    <w:rsid w:val="009B444D"/>
    <w:rsid w:val="009B577E"/>
    <w:rsid w:val="009B5986"/>
    <w:rsid w:val="009B7AAE"/>
    <w:rsid w:val="009B7FAA"/>
    <w:rsid w:val="009C1A63"/>
    <w:rsid w:val="009C235E"/>
    <w:rsid w:val="009C2A22"/>
    <w:rsid w:val="009D0235"/>
    <w:rsid w:val="009D2973"/>
    <w:rsid w:val="009D2E9E"/>
    <w:rsid w:val="009D366C"/>
    <w:rsid w:val="009D4B73"/>
    <w:rsid w:val="009D66F5"/>
    <w:rsid w:val="009D6938"/>
    <w:rsid w:val="009D7647"/>
    <w:rsid w:val="009E1578"/>
    <w:rsid w:val="009E1C3C"/>
    <w:rsid w:val="009E22F1"/>
    <w:rsid w:val="009E398A"/>
    <w:rsid w:val="009E51EC"/>
    <w:rsid w:val="009E67EF"/>
    <w:rsid w:val="009E7177"/>
    <w:rsid w:val="009E7E43"/>
    <w:rsid w:val="009F0AC9"/>
    <w:rsid w:val="009F1589"/>
    <w:rsid w:val="009F2502"/>
    <w:rsid w:val="009F50F9"/>
    <w:rsid w:val="009F66F4"/>
    <w:rsid w:val="009F6D9E"/>
    <w:rsid w:val="009F7172"/>
    <w:rsid w:val="009F7F0D"/>
    <w:rsid w:val="00A000FD"/>
    <w:rsid w:val="00A02588"/>
    <w:rsid w:val="00A025DB"/>
    <w:rsid w:val="00A03380"/>
    <w:rsid w:val="00A052AA"/>
    <w:rsid w:val="00A06561"/>
    <w:rsid w:val="00A067D9"/>
    <w:rsid w:val="00A06FF7"/>
    <w:rsid w:val="00A1081C"/>
    <w:rsid w:val="00A11B49"/>
    <w:rsid w:val="00A12587"/>
    <w:rsid w:val="00A137A3"/>
    <w:rsid w:val="00A13DC7"/>
    <w:rsid w:val="00A14E4C"/>
    <w:rsid w:val="00A15551"/>
    <w:rsid w:val="00A17A6E"/>
    <w:rsid w:val="00A20388"/>
    <w:rsid w:val="00A20A09"/>
    <w:rsid w:val="00A21086"/>
    <w:rsid w:val="00A21FFE"/>
    <w:rsid w:val="00A22A47"/>
    <w:rsid w:val="00A232D6"/>
    <w:rsid w:val="00A23712"/>
    <w:rsid w:val="00A238F7"/>
    <w:rsid w:val="00A23922"/>
    <w:rsid w:val="00A2443E"/>
    <w:rsid w:val="00A24DA5"/>
    <w:rsid w:val="00A255DE"/>
    <w:rsid w:val="00A2569B"/>
    <w:rsid w:val="00A260C6"/>
    <w:rsid w:val="00A3015A"/>
    <w:rsid w:val="00A32837"/>
    <w:rsid w:val="00A32C96"/>
    <w:rsid w:val="00A32D6B"/>
    <w:rsid w:val="00A34704"/>
    <w:rsid w:val="00A35051"/>
    <w:rsid w:val="00A35DBA"/>
    <w:rsid w:val="00A35E94"/>
    <w:rsid w:val="00A36833"/>
    <w:rsid w:val="00A37818"/>
    <w:rsid w:val="00A3792C"/>
    <w:rsid w:val="00A37970"/>
    <w:rsid w:val="00A420CE"/>
    <w:rsid w:val="00A43B95"/>
    <w:rsid w:val="00A44CA6"/>
    <w:rsid w:val="00A44D3E"/>
    <w:rsid w:val="00A456AF"/>
    <w:rsid w:val="00A46ACA"/>
    <w:rsid w:val="00A471B3"/>
    <w:rsid w:val="00A47B0B"/>
    <w:rsid w:val="00A5049E"/>
    <w:rsid w:val="00A53124"/>
    <w:rsid w:val="00A54031"/>
    <w:rsid w:val="00A541EB"/>
    <w:rsid w:val="00A57A9E"/>
    <w:rsid w:val="00A60CD7"/>
    <w:rsid w:val="00A60F8C"/>
    <w:rsid w:val="00A61EDC"/>
    <w:rsid w:val="00A63DA3"/>
    <w:rsid w:val="00A66C0B"/>
    <w:rsid w:val="00A66C92"/>
    <w:rsid w:val="00A67859"/>
    <w:rsid w:val="00A719D4"/>
    <w:rsid w:val="00A71EC3"/>
    <w:rsid w:val="00A71F9E"/>
    <w:rsid w:val="00A71FFE"/>
    <w:rsid w:val="00A73778"/>
    <w:rsid w:val="00A75040"/>
    <w:rsid w:val="00A766E4"/>
    <w:rsid w:val="00A7674B"/>
    <w:rsid w:val="00A768E2"/>
    <w:rsid w:val="00A77A29"/>
    <w:rsid w:val="00A77B8D"/>
    <w:rsid w:val="00A77C72"/>
    <w:rsid w:val="00A80012"/>
    <w:rsid w:val="00A8069F"/>
    <w:rsid w:val="00A80AE8"/>
    <w:rsid w:val="00A81131"/>
    <w:rsid w:val="00A8230A"/>
    <w:rsid w:val="00A82382"/>
    <w:rsid w:val="00A82839"/>
    <w:rsid w:val="00A82963"/>
    <w:rsid w:val="00A83347"/>
    <w:rsid w:val="00A83443"/>
    <w:rsid w:val="00A83682"/>
    <w:rsid w:val="00A844AE"/>
    <w:rsid w:val="00A84649"/>
    <w:rsid w:val="00A90318"/>
    <w:rsid w:val="00A9088F"/>
    <w:rsid w:val="00A928FC"/>
    <w:rsid w:val="00A932E4"/>
    <w:rsid w:val="00A94F2E"/>
    <w:rsid w:val="00AA1D69"/>
    <w:rsid w:val="00AA26C9"/>
    <w:rsid w:val="00AA2AD2"/>
    <w:rsid w:val="00AA3E93"/>
    <w:rsid w:val="00AA5E8E"/>
    <w:rsid w:val="00AA64BD"/>
    <w:rsid w:val="00AA677C"/>
    <w:rsid w:val="00AA73D4"/>
    <w:rsid w:val="00AB06A9"/>
    <w:rsid w:val="00AB091A"/>
    <w:rsid w:val="00AB2EEF"/>
    <w:rsid w:val="00AB3749"/>
    <w:rsid w:val="00AB4BC3"/>
    <w:rsid w:val="00AB541D"/>
    <w:rsid w:val="00AB7A34"/>
    <w:rsid w:val="00AC07DE"/>
    <w:rsid w:val="00AC1024"/>
    <w:rsid w:val="00AC1E36"/>
    <w:rsid w:val="00AC2EF2"/>
    <w:rsid w:val="00AC3049"/>
    <w:rsid w:val="00AC4C4E"/>
    <w:rsid w:val="00AC6460"/>
    <w:rsid w:val="00AC6C96"/>
    <w:rsid w:val="00AC6CED"/>
    <w:rsid w:val="00AC7C45"/>
    <w:rsid w:val="00AD1A9F"/>
    <w:rsid w:val="00AD1E41"/>
    <w:rsid w:val="00AD211D"/>
    <w:rsid w:val="00AD2132"/>
    <w:rsid w:val="00AD268A"/>
    <w:rsid w:val="00AD30F4"/>
    <w:rsid w:val="00AD3292"/>
    <w:rsid w:val="00AD4C32"/>
    <w:rsid w:val="00AD5630"/>
    <w:rsid w:val="00AD5AF1"/>
    <w:rsid w:val="00AD6BC2"/>
    <w:rsid w:val="00AD74DD"/>
    <w:rsid w:val="00AE0441"/>
    <w:rsid w:val="00AE2D18"/>
    <w:rsid w:val="00AE5132"/>
    <w:rsid w:val="00AE6705"/>
    <w:rsid w:val="00AE6ADB"/>
    <w:rsid w:val="00AE6DED"/>
    <w:rsid w:val="00AF043F"/>
    <w:rsid w:val="00AF10BE"/>
    <w:rsid w:val="00AF31F8"/>
    <w:rsid w:val="00AF32C0"/>
    <w:rsid w:val="00AF4153"/>
    <w:rsid w:val="00AF423B"/>
    <w:rsid w:val="00AF4DB9"/>
    <w:rsid w:val="00AF504E"/>
    <w:rsid w:val="00AF628D"/>
    <w:rsid w:val="00B00ADE"/>
    <w:rsid w:val="00B01A99"/>
    <w:rsid w:val="00B02FF7"/>
    <w:rsid w:val="00B041BF"/>
    <w:rsid w:val="00B04A18"/>
    <w:rsid w:val="00B05515"/>
    <w:rsid w:val="00B05819"/>
    <w:rsid w:val="00B0763E"/>
    <w:rsid w:val="00B10BBA"/>
    <w:rsid w:val="00B11380"/>
    <w:rsid w:val="00B121EF"/>
    <w:rsid w:val="00B13B0B"/>
    <w:rsid w:val="00B149ED"/>
    <w:rsid w:val="00B14A99"/>
    <w:rsid w:val="00B14D82"/>
    <w:rsid w:val="00B14E82"/>
    <w:rsid w:val="00B14EB8"/>
    <w:rsid w:val="00B16E72"/>
    <w:rsid w:val="00B17F3A"/>
    <w:rsid w:val="00B2122A"/>
    <w:rsid w:val="00B22CFC"/>
    <w:rsid w:val="00B23063"/>
    <w:rsid w:val="00B2396E"/>
    <w:rsid w:val="00B23C75"/>
    <w:rsid w:val="00B23F65"/>
    <w:rsid w:val="00B25909"/>
    <w:rsid w:val="00B25E95"/>
    <w:rsid w:val="00B266FE"/>
    <w:rsid w:val="00B268FE"/>
    <w:rsid w:val="00B3030F"/>
    <w:rsid w:val="00B30688"/>
    <w:rsid w:val="00B316AB"/>
    <w:rsid w:val="00B317F9"/>
    <w:rsid w:val="00B3306E"/>
    <w:rsid w:val="00B34232"/>
    <w:rsid w:val="00B34425"/>
    <w:rsid w:val="00B346CB"/>
    <w:rsid w:val="00B34AEA"/>
    <w:rsid w:val="00B352A7"/>
    <w:rsid w:val="00B3686A"/>
    <w:rsid w:val="00B42A05"/>
    <w:rsid w:val="00B4368E"/>
    <w:rsid w:val="00B43878"/>
    <w:rsid w:val="00B43A76"/>
    <w:rsid w:val="00B452FE"/>
    <w:rsid w:val="00B4567E"/>
    <w:rsid w:val="00B463DC"/>
    <w:rsid w:val="00B469A8"/>
    <w:rsid w:val="00B47C41"/>
    <w:rsid w:val="00B47F7F"/>
    <w:rsid w:val="00B527D3"/>
    <w:rsid w:val="00B52D89"/>
    <w:rsid w:val="00B52E23"/>
    <w:rsid w:val="00B538B4"/>
    <w:rsid w:val="00B5537B"/>
    <w:rsid w:val="00B56414"/>
    <w:rsid w:val="00B573F6"/>
    <w:rsid w:val="00B5786C"/>
    <w:rsid w:val="00B60AEC"/>
    <w:rsid w:val="00B61356"/>
    <w:rsid w:val="00B614CE"/>
    <w:rsid w:val="00B62F02"/>
    <w:rsid w:val="00B6386C"/>
    <w:rsid w:val="00B655AC"/>
    <w:rsid w:val="00B7016B"/>
    <w:rsid w:val="00B70D5D"/>
    <w:rsid w:val="00B7186A"/>
    <w:rsid w:val="00B73776"/>
    <w:rsid w:val="00B756DF"/>
    <w:rsid w:val="00B76318"/>
    <w:rsid w:val="00B80012"/>
    <w:rsid w:val="00B8012D"/>
    <w:rsid w:val="00B8025B"/>
    <w:rsid w:val="00B803EA"/>
    <w:rsid w:val="00B81551"/>
    <w:rsid w:val="00B817E9"/>
    <w:rsid w:val="00B835F6"/>
    <w:rsid w:val="00B8474C"/>
    <w:rsid w:val="00B85491"/>
    <w:rsid w:val="00B8586E"/>
    <w:rsid w:val="00B86536"/>
    <w:rsid w:val="00B86E6F"/>
    <w:rsid w:val="00B87A42"/>
    <w:rsid w:val="00B87DB3"/>
    <w:rsid w:val="00B90A58"/>
    <w:rsid w:val="00B914CB"/>
    <w:rsid w:val="00B915F1"/>
    <w:rsid w:val="00B92250"/>
    <w:rsid w:val="00B92BC2"/>
    <w:rsid w:val="00B93CD9"/>
    <w:rsid w:val="00B947EC"/>
    <w:rsid w:val="00B952D0"/>
    <w:rsid w:val="00B95C12"/>
    <w:rsid w:val="00B9638C"/>
    <w:rsid w:val="00B966A8"/>
    <w:rsid w:val="00B9787F"/>
    <w:rsid w:val="00BA13A8"/>
    <w:rsid w:val="00BA151F"/>
    <w:rsid w:val="00BA1589"/>
    <w:rsid w:val="00BA268D"/>
    <w:rsid w:val="00BA5CDA"/>
    <w:rsid w:val="00BA718E"/>
    <w:rsid w:val="00BB1F15"/>
    <w:rsid w:val="00BB26D5"/>
    <w:rsid w:val="00BB2765"/>
    <w:rsid w:val="00BB2DD8"/>
    <w:rsid w:val="00BB4857"/>
    <w:rsid w:val="00BB4990"/>
    <w:rsid w:val="00BB4D48"/>
    <w:rsid w:val="00BB5226"/>
    <w:rsid w:val="00BB5E77"/>
    <w:rsid w:val="00BB6889"/>
    <w:rsid w:val="00BB77A1"/>
    <w:rsid w:val="00BC024B"/>
    <w:rsid w:val="00BC08E2"/>
    <w:rsid w:val="00BC163D"/>
    <w:rsid w:val="00BC19EE"/>
    <w:rsid w:val="00BC1CCE"/>
    <w:rsid w:val="00BC22F6"/>
    <w:rsid w:val="00BC2788"/>
    <w:rsid w:val="00BC40F5"/>
    <w:rsid w:val="00BC480F"/>
    <w:rsid w:val="00BC4DAF"/>
    <w:rsid w:val="00BC5007"/>
    <w:rsid w:val="00BC541D"/>
    <w:rsid w:val="00BC5A4B"/>
    <w:rsid w:val="00BC702B"/>
    <w:rsid w:val="00BD04B8"/>
    <w:rsid w:val="00BD0932"/>
    <w:rsid w:val="00BD0BB1"/>
    <w:rsid w:val="00BD10B6"/>
    <w:rsid w:val="00BE0DF7"/>
    <w:rsid w:val="00BE2143"/>
    <w:rsid w:val="00BE39B0"/>
    <w:rsid w:val="00BE4A4D"/>
    <w:rsid w:val="00BE547B"/>
    <w:rsid w:val="00BE6B96"/>
    <w:rsid w:val="00BF08ED"/>
    <w:rsid w:val="00BF1809"/>
    <w:rsid w:val="00BF2495"/>
    <w:rsid w:val="00BF2A16"/>
    <w:rsid w:val="00BF2E99"/>
    <w:rsid w:val="00BF3158"/>
    <w:rsid w:val="00BF4886"/>
    <w:rsid w:val="00BF4B35"/>
    <w:rsid w:val="00BF64F2"/>
    <w:rsid w:val="00BF6C89"/>
    <w:rsid w:val="00BF75BD"/>
    <w:rsid w:val="00C011FC"/>
    <w:rsid w:val="00C01A34"/>
    <w:rsid w:val="00C01F81"/>
    <w:rsid w:val="00C041DD"/>
    <w:rsid w:val="00C043C5"/>
    <w:rsid w:val="00C04913"/>
    <w:rsid w:val="00C05030"/>
    <w:rsid w:val="00C05A2E"/>
    <w:rsid w:val="00C05D3A"/>
    <w:rsid w:val="00C10469"/>
    <w:rsid w:val="00C10D03"/>
    <w:rsid w:val="00C11B84"/>
    <w:rsid w:val="00C12628"/>
    <w:rsid w:val="00C13470"/>
    <w:rsid w:val="00C143B1"/>
    <w:rsid w:val="00C143DE"/>
    <w:rsid w:val="00C149B2"/>
    <w:rsid w:val="00C14C2A"/>
    <w:rsid w:val="00C14CF9"/>
    <w:rsid w:val="00C1504D"/>
    <w:rsid w:val="00C15867"/>
    <w:rsid w:val="00C16537"/>
    <w:rsid w:val="00C17004"/>
    <w:rsid w:val="00C1739E"/>
    <w:rsid w:val="00C2250F"/>
    <w:rsid w:val="00C2274E"/>
    <w:rsid w:val="00C227B4"/>
    <w:rsid w:val="00C2281A"/>
    <w:rsid w:val="00C22919"/>
    <w:rsid w:val="00C231DC"/>
    <w:rsid w:val="00C240C4"/>
    <w:rsid w:val="00C2506A"/>
    <w:rsid w:val="00C25F78"/>
    <w:rsid w:val="00C26E9D"/>
    <w:rsid w:val="00C31355"/>
    <w:rsid w:val="00C31775"/>
    <w:rsid w:val="00C32D43"/>
    <w:rsid w:val="00C33670"/>
    <w:rsid w:val="00C337F3"/>
    <w:rsid w:val="00C35200"/>
    <w:rsid w:val="00C35B76"/>
    <w:rsid w:val="00C361BF"/>
    <w:rsid w:val="00C3648D"/>
    <w:rsid w:val="00C37395"/>
    <w:rsid w:val="00C37801"/>
    <w:rsid w:val="00C40A8F"/>
    <w:rsid w:val="00C4221C"/>
    <w:rsid w:val="00C42A48"/>
    <w:rsid w:val="00C4417B"/>
    <w:rsid w:val="00C449C1"/>
    <w:rsid w:val="00C44AA5"/>
    <w:rsid w:val="00C44BFA"/>
    <w:rsid w:val="00C44E80"/>
    <w:rsid w:val="00C44FBE"/>
    <w:rsid w:val="00C51153"/>
    <w:rsid w:val="00C528AC"/>
    <w:rsid w:val="00C532F4"/>
    <w:rsid w:val="00C53442"/>
    <w:rsid w:val="00C53561"/>
    <w:rsid w:val="00C53956"/>
    <w:rsid w:val="00C5429F"/>
    <w:rsid w:val="00C5519D"/>
    <w:rsid w:val="00C568A4"/>
    <w:rsid w:val="00C56AA9"/>
    <w:rsid w:val="00C578A9"/>
    <w:rsid w:val="00C60A69"/>
    <w:rsid w:val="00C6278C"/>
    <w:rsid w:val="00C63B4B"/>
    <w:rsid w:val="00C66B1A"/>
    <w:rsid w:val="00C66E45"/>
    <w:rsid w:val="00C71153"/>
    <w:rsid w:val="00C71A2D"/>
    <w:rsid w:val="00C72BCC"/>
    <w:rsid w:val="00C72D4B"/>
    <w:rsid w:val="00C73BD1"/>
    <w:rsid w:val="00C741B6"/>
    <w:rsid w:val="00C7441B"/>
    <w:rsid w:val="00C74928"/>
    <w:rsid w:val="00C75ABA"/>
    <w:rsid w:val="00C75B0C"/>
    <w:rsid w:val="00C76B92"/>
    <w:rsid w:val="00C77807"/>
    <w:rsid w:val="00C80A54"/>
    <w:rsid w:val="00C81029"/>
    <w:rsid w:val="00C815AD"/>
    <w:rsid w:val="00C81B7D"/>
    <w:rsid w:val="00C82A29"/>
    <w:rsid w:val="00C8646E"/>
    <w:rsid w:val="00C864AD"/>
    <w:rsid w:val="00C8686B"/>
    <w:rsid w:val="00C86A6D"/>
    <w:rsid w:val="00C86EFA"/>
    <w:rsid w:val="00C873C0"/>
    <w:rsid w:val="00C904D4"/>
    <w:rsid w:val="00C90B5C"/>
    <w:rsid w:val="00C90FA8"/>
    <w:rsid w:val="00C913A0"/>
    <w:rsid w:val="00C91A5C"/>
    <w:rsid w:val="00C92B80"/>
    <w:rsid w:val="00C92C17"/>
    <w:rsid w:val="00C92CBA"/>
    <w:rsid w:val="00C9304F"/>
    <w:rsid w:val="00C93B3F"/>
    <w:rsid w:val="00C9508C"/>
    <w:rsid w:val="00C96C1B"/>
    <w:rsid w:val="00C973D6"/>
    <w:rsid w:val="00C97448"/>
    <w:rsid w:val="00CA0B01"/>
    <w:rsid w:val="00CA0FF3"/>
    <w:rsid w:val="00CA1394"/>
    <w:rsid w:val="00CA168A"/>
    <w:rsid w:val="00CA2DE5"/>
    <w:rsid w:val="00CA2F53"/>
    <w:rsid w:val="00CA4685"/>
    <w:rsid w:val="00CA49E7"/>
    <w:rsid w:val="00CA4ED1"/>
    <w:rsid w:val="00CA64DA"/>
    <w:rsid w:val="00CA7E73"/>
    <w:rsid w:val="00CB01D9"/>
    <w:rsid w:val="00CB0F5C"/>
    <w:rsid w:val="00CB1092"/>
    <w:rsid w:val="00CB2E55"/>
    <w:rsid w:val="00CB334E"/>
    <w:rsid w:val="00CB3751"/>
    <w:rsid w:val="00CB383F"/>
    <w:rsid w:val="00CB3B2E"/>
    <w:rsid w:val="00CB4B9E"/>
    <w:rsid w:val="00CB4F81"/>
    <w:rsid w:val="00CB55D4"/>
    <w:rsid w:val="00CB618C"/>
    <w:rsid w:val="00CB693C"/>
    <w:rsid w:val="00CC1EE8"/>
    <w:rsid w:val="00CC237A"/>
    <w:rsid w:val="00CC5F66"/>
    <w:rsid w:val="00CC6032"/>
    <w:rsid w:val="00CD0467"/>
    <w:rsid w:val="00CD0E31"/>
    <w:rsid w:val="00CD1258"/>
    <w:rsid w:val="00CD1980"/>
    <w:rsid w:val="00CD3225"/>
    <w:rsid w:val="00CD3973"/>
    <w:rsid w:val="00CD50A9"/>
    <w:rsid w:val="00CD667E"/>
    <w:rsid w:val="00CE0C1F"/>
    <w:rsid w:val="00CE11F9"/>
    <w:rsid w:val="00CE1A87"/>
    <w:rsid w:val="00CE3A3C"/>
    <w:rsid w:val="00CE47E9"/>
    <w:rsid w:val="00CE4BD2"/>
    <w:rsid w:val="00CF00A2"/>
    <w:rsid w:val="00CF0120"/>
    <w:rsid w:val="00CF1516"/>
    <w:rsid w:val="00CF241E"/>
    <w:rsid w:val="00CF246D"/>
    <w:rsid w:val="00CF3F72"/>
    <w:rsid w:val="00CF5DF4"/>
    <w:rsid w:val="00CF6409"/>
    <w:rsid w:val="00CF6978"/>
    <w:rsid w:val="00CF6A02"/>
    <w:rsid w:val="00CF7874"/>
    <w:rsid w:val="00D0012F"/>
    <w:rsid w:val="00D0175E"/>
    <w:rsid w:val="00D01910"/>
    <w:rsid w:val="00D01DFA"/>
    <w:rsid w:val="00D0327E"/>
    <w:rsid w:val="00D033FF"/>
    <w:rsid w:val="00D038CA"/>
    <w:rsid w:val="00D05C01"/>
    <w:rsid w:val="00D067C0"/>
    <w:rsid w:val="00D06890"/>
    <w:rsid w:val="00D07F73"/>
    <w:rsid w:val="00D10282"/>
    <w:rsid w:val="00D10775"/>
    <w:rsid w:val="00D123BD"/>
    <w:rsid w:val="00D1331A"/>
    <w:rsid w:val="00D14370"/>
    <w:rsid w:val="00D14A69"/>
    <w:rsid w:val="00D21162"/>
    <w:rsid w:val="00D21233"/>
    <w:rsid w:val="00D2270F"/>
    <w:rsid w:val="00D23BD3"/>
    <w:rsid w:val="00D248D0"/>
    <w:rsid w:val="00D26587"/>
    <w:rsid w:val="00D26D72"/>
    <w:rsid w:val="00D26EA6"/>
    <w:rsid w:val="00D3039C"/>
    <w:rsid w:val="00D31007"/>
    <w:rsid w:val="00D3260C"/>
    <w:rsid w:val="00D3287B"/>
    <w:rsid w:val="00D32CC9"/>
    <w:rsid w:val="00D33F38"/>
    <w:rsid w:val="00D3570A"/>
    <w:rsid w:val="00D4024A"/>
    <w:rsid w:val="00D40C8A"/>
    <w:rsid w:val="00D424CA"/>
    <w:rsid w:val="00D441EF"/>
    <w:rsid w:val="00D44CA0"/>
    <w:rsid w:val="00D500EF"/>
    <w:rsid w:val="00D5089A"/>
    <w:rsid w:val="00D50B70"/>
    <w:rsid w:val="00D52114"/>
    <w:rsid w:val="00D5259D"/>
    <w:rsid w:val="00D52E3B"/>
    <w:rsid w:val="00D53384"/>
    <w:rsid w:val="00D543EC"/>
    <w:rsid w:val="00D54BC3"/>
    <w:rsid w:val="00D5761B"/>
    <w:rsid w:val="00D64233"/>
    <w:rsid w:val="00D66434"/>
    <w:rsid w:val="00D665C9"/>
    <w:rsid w:val="00D66610"/>
    <w:rsid w:val="00D67314"/>
    <w:rsid w:val="00D728FF"/>
    <w:rsid w:val="00D73048"/>
    <w:rsid w:val="00D736CF"/>
    <w:rsid w:val="00D7471D"/>
    <w:rsid w:val="00D74868"/>
    <w:rsid w:val="00D7617C"/>
    <w:rsid w:val="00D77827"/>
    <w:rsid w:val="00D807FA"/>
    <w:rsid w:val="00D819E7"/>
    <w:rsid w:val="00D82D6D"/>
    <w:rsid w:val="00D83473"/>
    <w:rsid w:val="00D83C24"/>
    <w:rsid w:val="00D84DDC"/>
    <w:rsid w:val="00D878DA"/>
    <w:rsid w:val="00D91F25"/>
    <w:rsid w:val="00D92C5F"/>
    <w:rsid w:val="00D93EE9"/>
    <w:rsid w:val="00D93F06"/>
    <w:rsid w:val="00D943B8"/>
    <w:rsid w:val="00D94FA8"/>
    <w:rsid w:val="00D95A44"/>
    <w:rsid w:val="00D96018"/>
    <w:rsid w:val="00D975B6"/>
    <w:rsid w:val="00D97C93"/>
    <w:rsid w:val="00DA0288"/>
    <w:rsid w:val="00DA02DB"/>
    <w:rsid w:val="00DA0891"/>
    <w:rsid w:val="00DA1881"/>
    <w:rsid w:val="00DA3210"/>
    <w:rsid w:val="00DA6532"/>
    <w:rsid w:val="00DA6F18"/>
    <w:rsid w:val="00DB1309"/>
    <w:rsid w:val="00DB2A1E"/>
    <w:rsid w:val="00DB49F0"/>
    <w:rsid w:val="00DB5CFD"/>
    <w:rsid w:val="00DB6694"/>
    <w:rsid w:val="00DB6A8A"/>
    <w:rsid w:val="00DB74AA"/>
    <w:rsid w:val="00DC0592"/>
    <w:rsid w:val="00DC19C5"/>
    <w:rsid w:val="00DC2493"/>
    <w:rsid w:val="00DC2D2E"/>
    <w:rsid w:val="00DC35F0"/>
    <w:rsid w:val="00DC7F22"/>
    <w:rsid w:val="00DD004D"/>
    <w:rsid w:val="00DD05AB"/>
    <w:rsid w:val="00DD07F1"/>
    <w:rsid w:val="00DD0A73"/>
    <w:rsid w:val="00DD1FC6"/>
    <w:rsid w:val="00DD2B6A"/>
    <w:rsid w:val="00DD2FB2"/>
    <w:rsid w:val="00DD3422"/>
    <w:rsid w:val="00DD37DB"/>
    <w:rsid w:val="00DD46B0"/>
    <w:rsid w:val="00DD5ED1"/>
    <w:rsid w:val="00DD6EA8"/>
    <w:rsid w:val="00DE123B"/>
    <w:rsid w:val="00DE1C60"/>
    <w:rsid w:val="00DE29ED"/>
    <w:rsid w:val="00DE2F6C"/>
    <w:rsid w:val="00DE3FBB"/>
    <w:rsid w:val="00DE4931"/>
    <w:rsid w:val="00DE7E55"/>
    <w:rsid w:val="00DF0D5E"/>
    <w:rsid w:val="00DF1A24"/>
    <w:rsid w:val="00DF3762"/>
    <w:rsid w:val="00DF42CF"/>
    <w:rsid w:val="00DF6305"/>
    <w:rsid w:val="00DF7508"/>
    <w:rsid w:val="00E00E6A"/>
    <w:rsid w:val="00E0139B"/>
    <w:rsid w:val="00E01722"/>
    <w:rsid w:val="00E01737"/>
    <w:rsid w:val="00E01F42"/>
    <w:rsid w:val="00E028BF"/>
    <w:rsid w:val="00E02B93"/>
    <w:rsid w:val="00E03434"/>
    <w:rsid w:val="00E04CD6"/>
    <w:rsid w:val="00E05A08"/>
    <w:rsid w:val="00E05A27"/>
    <w:rsid w:val="00E07915"/>
    <w:rsid w:val="00E07966"/>
    <w:rsid w:val="00E101C8"/>
    <w:rsid w:val="00E12325"/>
    <w:rsid w:val="00E21005"/>
    <w:rsid w:val="00E21E51"/>
    <w:rsid w:val="00E23382"/>
    <w:rsid w:val="00E233F2"/>
    <w:rsid w:val="00E2444C"/>
    <w:rsid w:val="00E24480"/>
    <w:rsid w:val="00E24F96"/>
    <w:rsid w:val="00E25427"/>
    <w:rsid w:val="00E2599D"/>
    <w:rsid w:val="00E34288"/>
    <w:rsid w:val="00E34F9A"/>
    <w:rsid w:val="00E350A9"/>
    <w:rsid w:val="00E35EEC"/>
    <w:rsid w:val="00E373E2"/>
    <w:rsid w:val="00E37A99"/>
    <w:rsid w:val="00E4004B"/>
    <w:rsid w:val="00E4081F"/>
    <w:rsid w:val="00E43EB3"/>
    <w:rsid w:val="00E43FCD"/>
    <w:rsid w:val="00E44426"/>
    <w:rsid w:val="00E444D2"/>
    <w:rsid w:val="00E44A3A"/>
    <w:rsid w:val="00E45E53"/>
    <w:rsid w:val="00E462AA"/>
    <w:rsid w:val="00E46B63"/>
    <w:rsid w:val="00E50193"/>
    <w:rsid w:val="00E50265"/>
    <w:rsid w:val="00E50728"/>
    <w:rsid w:val="00E508D1"/>
    <w:rsid w:val="00E51BBC"/>
    <w:rsid w:val="00E547AA"/>
    <w:rsid w:val="00E5571F"/>
    <w:rsid w:val="00E55DBB"/>
    <w:rsid w:val="00E56425"/>
    <w:rsid w:val="00E611DB"/>
    <w:rsid w:val="00E619F6"/>
    <w:rsid w:val="00E646B8"/>
    <w:rsid w:val="00E64CC6"/>
    <w:rsid w:val="00E64F2E"/>
    <w:rsid w:val="00E66B72"/>
    <w:rsid w:val="00E66D69"/>
    <w:rsid w:val="00E676C1"/>
    <w:rsid w:val="00E676CF"/>
    <w:rsid w:val="00E70508"/>
    <w:rsid w:val="00E7118B"/>
    <w:rsid w:val="00E7146A"/>
    <w:rsid w:val="00E73A0F"/>
    <w:rsid w:val="00E74716"/>
    <w:rsid w:val="00E74AE7"/>
    <w:rsid w:val="00E756A2"/>
    <w:rsid w:val="00E75A6A"/>
    <w:rsid w:val="00E75C33"/>
    <w:rsid w:val="00E765D1"/>
    <w:rsid w:val="00E801C8"/>
    <w:rsid w:val="00E805EE"/>
    <w:rsid w:val="00E8245E"/>
    <w:rsid w:val="00E82CCD"/>
    <w:rsid w:val="00E83500"/>
    <w:rsid w:val="00E85258"/>
    <w:rsid w:val="00E857FF"/>
    <w:rsid w:val="00E8630B"/>
    <w:rsid w:val="00E87119"/>
    <w:rsid w:val="00E87DCA"/>
    <w:rsid w:val="00E87EAB"/>
    <w:rsid w:val="00E90B63"/>
    <w:rsid w:val="00E9346A"/>
    <w:rsid w:val="00E93D77"/>
    <w:rsid w:val="00E94B38"/>
    <w:rsid w:val="00E9541D"/>
    <w:rsid w:val="00E95FBA"/>
    <w:rsid w:val="00E97758"/>
    <w:rsid w:val="00EA02B1"/>
    <w:rsid w:val="00EA0AEC"/>
    <w:rsid w:val="00EA3D48"/>
    <w:rsid w:val="00EA4567"/>
    <w:rsid w:val="00EA5D28"/>
    <w:rsid w:val="00EA5DBF"/>
    <w:rsid w:val="00EA6F13"/>
    <w:rsid w:val="00EA7BFB"/>
    <w:rsid w:val="00EB3394"/>
    <w:rsid w:val="00EB37EF"/>
    <w:rsid w:val="00EB3BF9"/>
    <w:rsid w:val="00EB4F49"/>
    <w:rsid w:val="00EB6152"/>
    <w:rsid w:val="00EC0302"/>
    <w:rsid w:val="00EC068A"/>
    <w:rsid w:val="00EC24D8"/>
    <w:rsid w:val="00EC30AF"/>
    <w:rsid w:val="00EC3248"/>
    <w:rsid w:val="00EC3D17"/>
    <w:rsid w:val="00EC3DF0"/>
    <w:rsid w:val="00EC42E6"/>
    <w:rsid w:val="00EC495D"/>
    <w:rsid w:val="00EC4D06"/>
    <w:rsid w:val="00EC5373"/>
    <w:rsid w:val="00EC5CD9"/>
    <w:rsid w:val="00EC6FB0"/>
    <w:rsid w:val="00ED125A"/>
    <w:rsid w:val="00ED5CA8"/>
    <w:rsid w:val="00ED6871"/>
    <w:rsid w:val="00ED7592"/>
    <w:rsid w:val="00ED7721"/>
    <w:rsid w:val="00EE05D1"/>
    <w:rsid w:val="00EE1395"/>
    <w:rsid w:val="00EE20D4"/>
    <w:rsid w:val="00EE28A6"/>
    <w:rsid w:val="00EE28FE"/>
    <w:rsid w:val="00EE5727"/>
    <w:rsid w:val="00EE60E5"/>
    <w:rsid w:val="00EE6875"/>
    <w:rsid w:val="00EE68C2"/>
    <w:rsid w:val="00EE6A4D"/>
    <w:rsid w:val="00EE6C20"/>
    <w:rsid w:val="00EF07CC"/>
    <w:rsid w:val="00EF1098"/>
    <w:rsid w:val="00EF1539"/>
    <w:rsid w:val="00EF1AA9"/>
    <w:rsid w:val="00EF3552"/>
    <w:rsid w:val="00EF3FA8"/>
    <w:rsid w:val="00EF4CAE"/>
    <w:rsid w:val="00EF54BD"/>
    <w:rsid w:val="00EF551F"/>
    <w:rsid w:val="00EF56E8"/>
    <w:rsid w:val="00EF6C69"/>
    <w:rsid w:val="00EF6D9C"/>
    <w:rsid w:val="00EF7EB2"/>
    <w:rsid w:val="00F00A73"/>
    <w:rsid w:val="00F0111C"/>
    <w:rsid w:val="00F01A8C"/>
    <w:rsid w:val="00F02072"/>
    <w:rsid w:val="00F05A6A"/>
    <w:rsid w:val="00F06D35"/>
    <w:rsid w:val="00F06FC6"/>
    <w:rsid w:val="00F076C7"/>
    <w:rsid w:val="00F077E7"/>
    <w:rsid w:val="00F07CDC"/>
    <w:rsid w:val="00F1013B"/>
    <w:rsid w:val="00F112D6"/>
    <w:rsid w:val="00F121C3"/>
    <w:rsid w:val="00F1377B"/>
    <w:rsid w:val="00F142A6"/>
    <w:rsid w:val="00F14772"/>
    <w:rsid w:val="00F167E6"/>
    <w:rsid w:val="00F1692D"/>
    <w:rsid w:val="00F16C4B"/>
    <w:rsid w:val="00F17914"/>
    <w:rsid w:val="00F2091E"/>
    <w:rsid w:val="00F20ACC"/>
    <w:rsid w:val="00F20B6C"/>
    <w:rsid w:val="00F21599"/>
    <w:rsid w:val="00F21C73"/>
    <w:rsid w:val="00F22B3F"/>
    <w:rsid w:val="00F23542"/>
    <w:rsid w:val="00F24356"/>
    <w:rsid w:val="00F24566"/>
    <w:rsid w:val="00F254C7"/>
    <w:rsid w:val="00F255D3"/>
    <w:rsid w:val="00F25D5E"/>
    <w:rsid w:val="00F25E11"/>
    <w:rsid w:val="00F30E62"/>
    <w:rsid w:val="00F31B6E"/>
    <w:rsid w:val="00F31F25"/>
    <w:rsid w:val="00F329D4"/>
    <w:rsid w:val="00F34E29"/>
    <w:rsid w:val="00F3511A"/>
    <w:rsid w:val="00F40136"/>
    <w:rsid w:val="00F41345"/>
    <w:rsid w:val="00F4340C"/>
    <w:rsid w:val="00F4367A"/>
    <w:rsid w:val="00F44486"/>
    <w:rsid w:val="00F462F8"/>
    <w:rsid w:val="00F46356"/>
    <w:rsid w:val="00F463F3"/>
    <w:rsid w:val="00F46CB7"/>
    <w:rsid w:val="00F46E29"/>
    <w:rsid w:val="00F47D2B"/>
    <w:rsid w:val="00F502C4"/>
    <w:rsid w:val="00F53223"/>
    <w:rsid w:val="00F53CE2"/>
    <w:rsid w:val="00F55851"/>
    <w:rsid w:val="00F573C2"/>
    <w:rsid w:val="00F5747D"/>
    <w:rsid w:val="00F57995"/>
    <w:rsid w:val="00F6001D"/>
    <w:rsid w:val="00F60D12"/>
    <w:rsid w:val="00F615A9"/>
    <w:rsid w:val="00F616AD"/>
    <w:rsid w:val="00F6224D"/>
    <w:rsid w:val="00F62CC6"/>
    <w:rsid w:val="00F63487"/>
    <w:rsid w:val="00F636F4"/>
    <w:rsid w:val="00F63D92"/>
    <w:rsid w:val="00F63FBF"/>
    <w:rsid w:val="00F641DA"/>
    <w:rsid w:val="00F645ED"/>
    <w:rsid w:val="00F654F4"/>
    <w:rsid w:val="00F66F86"/>
    <w:rsid w:val="00F67F17"/>
    <w:rsid w:val="00F701F3"/>
    <w:rsid w:val="00F71927"/>
    <w:rsid w:val="00F71A57"/>
    <w:rsid w:val="00F7298C"/>
    <w:rsid w:val="00F72C41"/>
    <w:rsid w:val="00F74748"/>
    <w:rsid w:val="00F7549B"/>
    <w:rsid w:val="00F75598"/>
    <w:rsid w:val="00F76711"/>
    <w:rsid w:val="00F76B61"/>
    <w:rsid w:val="00F76E9F"/>
    <w:rsid w:val="00F77EA0"/>
    <w:rsid w:val="00F80279"/>
    <w:rsid w:val="00F80B77"/>
    <w:rsid w:val="00F80E37"/>
    <w:rsid w:val="00F81193"/>
    <w:rsid w:val="00F816C2"/>
    <w:rsid w:val="00F81BB5"/>
    <w:rsid w:val="00F82BBF"/>
    <w:rsid w:val="00F83581"/>
    <w:rsid w:val="00F878C6"/>
    <w:rsid w:val="00F87AA0"/>
    <w:rsid w:val="00F87E0F"/>
    <w:rsid w:val="00F9010E"/>
    <w:rsid w:val="00F90B0C"/>
    <w:rsid w:val="00F918BD"/>
    <w:rsid w:val="00F91BFB"/>
    <w:rsid w:val="00F91E06"/>
    <w:rsid w:val="00F9462B"/>
    <w:rsid w:val="00F948E1"/>
    <w:rsid w:val="00F95537"/>
    <w:rsid w:val="00F960EC"/>
    <w:rsid w:val="00F96498"/>
    <w:rsid w:val="00F96D5D"/>
    <w:rsid w:val="00F97F9F"/>
    <w:rsid w:val="00FA00E2"/>
    <w:rsid w:val="00FA02ED"/>
    <w:rsid w:val="00FA0EDA"/>
    <w:rsid w:val="00FA2CFF"/>
    <w:rsid w:val="00FA2FF9"/>
    <w:rsid w:val="00FA36B7"/>
    <w:rsid w:val="00FA4385"/>
    <w:rsid w:val="00FA5ABC"/>
    <w:rsid w:val="00FA7258"/>
    <w:rsid w:val="00FB08E2"/>
    <w:rsid w:val="00FB14CD"/>
    <w:rsid w:val="00FB2B58"/>
    <w:rsid w:val="00FB2F6D"/>
    <w:rsid w:val="00FB370E"/>
    <w:rsid w:val="00FB5DF3"/>
    <w:rsid w:val="00FB76C6"/>
    <w:rsid w:val="00FB7889"/>
    <w:rsid w:val="00FB7A1B"/>
    <w:rsid w:val="00FB7F1E"/>
    <w:rsid w:val="00FC03CE"/>
    <w:rsid w:val="00FC0F71"/>
    <w:rsid w:val="00FC2EC9"/>
    <w:rsid w:val="00FC35F9"/>
    <w:rsid w:val="00FC3A80"/>
    <w:rsid w:val="00FC6E6E"/>
    <w:rsid w:val="00FD0234"/>
    <w:rsid w:val="00FD0B1D"/>
    <w:rsid w:val="00FD0D00"/>
    <w:rsid w:val="00FD359F"/>
    <w:rsid w:val="00FD400C"/>
    <w:rsid w:val="00FD577D"/>
    <w:rsid w:val="00FE2B0D"/>
    <w:rsid w:val="00FE3714"/>
    <w:rsid w:val="00FE3DD3"/>
    <w:rsid w:val="00FE5059"/>
    <w:rsid w:val="00FE5DDF"/>
    <w:rsid w:val="00FE6851"/>
    <w:rsid w:val="00FE6922"/>
    <w:rsid w:val="00FE6AC6"/>
    <w:rsid w:val="00FF0C91"/>
    <w:rsid w:val="00FF3FD1"/>
    <w:rsid w:val="00FF56EE"/>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8"/>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uiPriority w:val="99"/>
    <w:rsid w:val="006A5A42"/>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8"/>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uiPriority w:val="99"/>
    <w:rsid w:val="006A5A4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3611">
      <w:bodyDiv w:val="1"/>
      <w:marLeft w:val="0"/>
      <w:marRight w:val="0"/>
      <w:marTop w:val="0"/>
      <w:marBottom w:val="0"/>
      <w:divBdr>
        <w:top w:val="none" w:sz="0" w:space="0" w:color="auto"/>
        <w:left w:val="none" w:sz="0" w:space="0" w:color="auto"/>
        <w:bottom w:val="none" w:sz="0" w:space="0" w:color="auto"/>
        <w:right w:val="none" w:sz="0" w:space="0" w:color="auto"/>
      </w:divBdr>
      <w:divsChild>
        <w:div w:id="1933388640">
          <w:marLeft w:val="0"/>
          <w:marRight w:val="0"/>
          <w:marTop w:val="0"/>
          <w:marBottom w:val="0"/>
          <w:divBdr>
            <w:top w:val="none" w:sz="0" w:space="0" w:color="auto"/>
            <w:left w:val="none" w:sz="0" w:space="0" w:color="auto"/>
            <w:bottom w:val="none" w:sz="0" w:space="0" w:color="auto"/>
            <w:right w:val="none" w:sz="0" w:space="0" w:color="auto"/>
          </w:divBdr>
          <w:divsChild>
            <w:div w:id="1329402267">
              <w:marLeft w:val="0"/>
              <w:marRight w:val="0"/>
              <w:marTop w:val="0"/>
              <w:marBottom w:val="0"/>
              <w:divBdr>
                <w:top w:val="none" w:sz="0" w:space="0" w:color="auto"/>
                <w:left w:val="none" w:sz="0" w:space="0" w:color="auto"/>
                <w:bottom w:val="none" w:sz="0" w:space="0" w:color="auto"/>
                <w:right w:val="none" w:sz="0" w:space="0" w:color="auto"/>
              </w:divBdr>
              <w:divsChild>
                <w:div w:id="1448429261">
                  <w:marLeft w:val="0"/>
                  <w:marRight w:val="0"/>
                  <w:marTop w:val="0"/>
                  <w:marBottom w:val="0"/>
                  <w:divBdr>
                    <w:top w:val="none" w:sz="0" w:space="0" w:color="auto"/>
                    <w:left w:val="none" w:sz="0" w:space="0" w:color="auto"/>
                    <w:bottom w:val="none" w:sz="0" w:space="0" w:color="auto"/>
                    <w:right w:val="none" w:sz="0" w:space="0" w:color="auto"/>
                  </w:divBdr>
                  <w:divsChild>
                    <w:div w:id="1324815200">
                      <w:marLeft w:val="0"/>
                      <w:marRight w:val="0"/>
                      <w:marTop w:val="0"/>
                      <w:marBottom w:val="0"/>
                      <w:divBdr>
                        <w:top w:val="none" w:sz="0" w:space="0" w:color="auto"/>
                        <w:left w:val="none" w:sz="0" w:space="0" w:color="auto"/>
                        <w:bottom w:val="none" w:sz="0" w:space="0" w:color="auto"/>
                        <w:right w:val="none" w:sz="0" w:space="0" w:color="auto"/>
                      </w:divBdr>
                      <w:divsChild>
                        <w:div w:id="14146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18762775">
      <w:bodyDiv w:val="1"/>
      <w:marLeft w:val="0"/>
      <w:marRight w:val="0"/>
      <w:marTop w:val="0"/>
      <w:marBottom w:val="0"/>
      <w:divBdr>
        <w:top w:val="none" w:sz="0" w:space="0" w:color="auto"/>
        <w:left w:val="none" w:sz="0" w:space="0" w:color="auto"/>
        <w:bottom w:val="none" w:sz="0" w:space="0" w:color="auto"/>
        <w:right w:val="none" w:sz="0" w:space="0" w:color="auto"/>
      </w:divBdr>
    </w:div>
    <w:div w:id="165094992">
      <w:bodyDiv w:val="1"/>
      <w:marLeft w:val="0"/>
      <w:marRight w:val="0"/>
      <w:marTop w:val="0"/>
      <w:marBottom w:val="0"/>
      <w:divBdr>
        <w:top w:val="none" w:sz="0" w:space="0" w:color="auto"/>
        <w:left w:val="none" w:sz="0" w:space="0" w:color="auto"/>
        <w:bottom w:val="none" w:sz="0" w:space="0" w:color="auto"/>
        <w:right w:val="none" w:sz="0" w:space="0" w:color="auto"/>
      </w:divBdr>
      <w:divsChild>
        <w:div w:id="1913735417">
          <w:marLeft w:val="0"/>
          <w:marRight w:val="0"/>
          <w:marTop w:val="100"/>
          <w:marBottom w:val="100"/>
          <w:divBdr>
            <w:top w:val="none" w:sz="0" w:space="0" w:color="auto"/>
            <w:left w:val="none" w:sz="0" w:space="0" w:color="auto"/>
            <w:bottom w:val="none" w:sz="0" w:space="0" w:color="auto"/>
            <w:right w:val="none" w:sz="0" w:space="0" w:color="auto"/>
          </w:divBdr>
          <w:divsChild>
            <w:div w:id="736785629">
              <w:marLeft w:val="0"/>
              <w:marRight w:val="0"/>
              <w:marTop w:val="0"/>
              <w:marBottom w:val="420"/>
              <w:divBdr>
                <w:top w:val="none" w:sz="0" w:space="0" w:color="auto"/>
                <w:left w:val="none" w:sz="0" w:space="0" w:color="auto"/>
                <w:bottom w:val="none" w:sz="0" w:space="0" w:color="auto"/>
                <w:right w:val="none" w:sz="0" w:space="0" w:color="auto"/>
              </w:divBdr>
              <w:divsChild>
                <w:div w:id="1724909226">
                  <w:marLeft w:val="0"/>
                  <w:marRight w:val="0"/>
                  <w:marTop w:val="0"/>
                  <w:marBottom w:val="0"/>
                  <w:divBdr>
                    <w:top w:val="none" w:sz="0" w:space="0" w:color="auto"/>
                    <w:left w:val="none" w:sz="0" w:space="0" w:color="auto"/>
                    <w:bottom w:val="none" w:sz="0" w:space="0" w:color="auto"/>
                    <w:right w:val="none" w:sz="0" w:space="0" w:color="auto"/>
                  </w:divBdr>
                  <w:divsChild>
                    <w:div w:id="43914831">
                      <w:marLeft w:val="0"/>
                      <w:marRight w:val="0"/>
                      <w:marTop w:val="0"/>
                      <w:marBottom w:val="0"/>
                      <w:divBdr>
                        <w:top w:val="none" w:sz="0" w:space="0" w:color="auto"/>
                        <w:left w:val="none" w:sz="0" w:space="0" w:color="auto"/>
                        <w:bottom w:val="none" w:sz="0" w:space="0" w:color="auto"/>
                        <w:right w:val="none" w:sz="0" w:space="0" w:color="auto"/>
                      </w:divBdr>
                      <w:divsChild>
                        <w:div w:id="76636303">
                          <w:marLeft w:val="0"/>
                          <w:marRight w:val="0"/>
                          <w:marTop w:val="0"/>
                          <w:marBottom w:val="0"/>
                          <w:divBdr>
                            <w:top w:val="none" w:sz="0" w:space="0" w:color="auto"/>
                            <w:left w:val="none" w:sz="0" w:space="0" w:color="auto"/>
                            <w:bottom w:val="none" w:sz="0" w:space="0" w:color="auto"/>
                            <w:right w:val="none" w:sz="0" w:space="0" w:color="auto"/>
                          </w:divBdr>
                          <w:divsChild>
                            <w:div w:id="1187406184">
                              <w:marLeft w:val="0"/>
                              <w:marRight w:val="0"/>
                              <w:marTop w:val="0"/>
                              <w:marBottom w:val="0"/>
                              <w:divBdr>
                                <w:top w:val="none" w:sz="0" w:space="0" w:color="auto"/>
                                <w:left w:val="none" w:sz="0" w:space="0" w:color="auto"/>
                                <w:bottom w:val="none" w:sz="0" w:space="0" w:color="auto"/>
                                <w:right w:val="none" w:sz="0" w:space="0" w:color="auto"/>
                              </w:divBdr>
                              <w:divsChild>
                                <w:div w:id="1650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95325">
      <w:bodyDiv w:val="1"/>
      <w:marLeft w:val="0"/>
      <w:marRight w:val="0"/>
      <w:marTop w:val="0"/>
      <w:marBottom w:val="0"/>
      <w:divBdr>
        <w:top w:val="none" w:sz="0" w:space="0" w:color="auto"/>
        <w:left w:val="none" w:sz="0" w:space="0" w:color="auto"/>
        <w:bottom w:val="none" w:sz="0" w:space="0" w:color="auto"/>
        <w:right w:val="none" w:sz="0" w:space="0" w:color="auto"/>
      </w:divBdr>
    </w:div>
    <w:div w:id="244269367">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295451970">
      <w:bodyDiv w:val="1"/>
      <w:marLeft w:val="0"/>
      <w:marRight w:val="0"/>
      <w:marTop w:val="0"/>
      <w:marBottom w:val="0"/>
      <w:divBdr>
        <w:top w:val="none" w:sz="0" w:space="0" w:color="auto"/>
        <w:left w:val="none" w:sz="0" w:space="0" w:color="auto"/>
        <w:bottom w:val="none" w:sz="0" w:space="0" w:color="auto"/>
        <w:right w:val="none" w:sz="0" w:space="0" w:color="auto"/>
      </w:divBdr>
    </w:div>
    <w:div w:id="362485011">
      <w:bodyDiv w:val="1"/>
      <w:marLeft w:val="0"/>
      <w:marRight w:val="0"/>
      <w:marTop w:val="0"/>
      <w:marBottom w:val="0"/>
      <w:divBdr>
        <w:top w:val="none" w:sz="0" w:space="0" w:color="auto"/>
        <w:left w:val="none" w:sz="0" w:space="0" w:color="auto"/>
        <w:bottom w:val="none" w:sz="0" w:space="0" w:color="auto"/>
        <w:right w:val="none" w:sz="0" w:space="0" w:color="auto"/>
      </w:divBdr>
      <w:divsChild>
        <w:div w:id="591007288">
          <w:marLeft w:val="547"/>
          <w:marRight w:val="0"/>
          <w:marTop w:val="96"/>
          <w:marBottom w:val="0"/>
          <w:divBdr>
            <w:top w:val="none" w:sz="0" w:space="0" w:color="auto"/>
            <w:left w:val="none" w:sz="0" w:space="0" w:color="auto"/>
            <w:bottom w:val="none" w:sz="0" w:space="0" w:color="auto"/>
            <w:right w:val="none" w:sz="0" w:space="0" w:color="auto"/>
          </w:divBdr>
        </w:div>
        <w:div w:id="704864314">
          <w:marLeft w:val="547"/>
          <w:marRight w:val="0"/>
          <w:marTop w:val="96"/>
          <w:marBottom w:val="0"/>
          <w:divBdr>
            <w:top w:val="none" w:sz="0" w:space="0" w:color="auto"/>
            <w:left w:val="none" w:sz="0" w:space="0" w:color="auto"/>
            <w:bottom w:val="none" w:sz="0" w:space="0" w:color="auto"/>
            <w:right w:val="none" w:sz="0" w:space="0" w:color="auto"/>
          </w:divBdr>
        </w:div>
      </w:divsChild>
    </w:div>
    <w:div w:id="392973091">
      <w:bodyDiv w:val="1"/>
      <w:marLeft w:val="0"/>
      <w:marRight w:val="0"/>
      <w:marTop w:val="0"/>
      <w:marBottom w:val="0"/>
      <w:divBdr>
        <w:top w:val="none" w:sz="0" w:space="0" w:color="auto"/>
        <w:left w:val="none" w:sz="0" w:space="0" w:color="auto"/>
        <w:bottom w:val="none" w:sz="0" w:space="0" w:color="auto"/>
        <w:right w:val="none" w:sz="0" w:space="0" w:color="auto"/>
      </w:divBdr>
    </w:div>
    <w:div w:id="395399835">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35028334">
      <w:bodyDiv w:val="1"/>
      <w:marLeft w:val="0"/>
      <w:marRight w:val="0"/>
      <w:marTop w:val="0"/>
      <w:marBottom w:val="0"/>
      <w:divBdr>
        <w:top w:val="none" w:sz="0" w:space="0" w:color="auto"/>
        <w:left w:val="none" w:sz="0" w:space="0" w:color="auto"/>
        <w:bottom w:val="none" w:sz="0" w:space="0" w:color="auto"/>
        <w:right w:val="none" w:sz="0" w:space="0" w:color="auto"/>
      </w:divBdr>
    </w:div>
    <w:div w:id="543639752">
      <w:bodyDiv w:val="1"/>
      <w:marLeft w:val="0"/>
      <w:marRight w:val="0"/>
      <w:marTop w:val="0"/>
      <w:marBottom w:val="0"/>
      <w:divBdr>
        <w:top w:val="none" w:sz="0" w:space="0" w:color="auto"/>
        <w:left w:val="none" w:sz="0" w:space="0" w:color="auto"/>
        <w:bottom w:val="none" w:sz="0" w:space="0" w:color="auto"/>
        <w:right w:val="none" w:sz="0" w:space="0" w:color="auto"/>
      </w:divBdr>
    </w:div>
    <w:div w:id="549806775">
      <w:bodyDiv w:val="1"/>
      <w:marLeft w:val="0"/>
      <w:marRight w:val="0"/>
      <w:marTop w:val="0"/>
      <w:marBottom w:val="0"/>
      <w:divBdr>
        <w:top w:val="none" w:sz="0" w:space="0" w:color="auto"/>
        <w:left w:val="none" w:sz="0" w:space="0" w:color="auto"/>
        <w:bottom w:val="none" w:sz="0" w:space="0" w:color="auto"/>
        <w:right w:val="none" w:sz="0" w:space="0" w:color="auto"/>
      </w:divBdr>
    </w:div>
    <w:div w:id="639771850">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764228985">
      <w:bodyDiv w:val="1"/>
      <w:marLeft w:val="0"/>
      <w:marRight w:val="0"/>
      <w:marTop w:val="0"/>
      <w:marBottom w:val="0"/>
      <w:divBdr>
        <w:top w:val="none" w:sz="0" w:space="0" w:color="auto"/>
        <w:left w:val="none" w:sz="0" w:space="0" w:color="auto"/>
        <w:bottom w:val="none" w:sz="0" w:space="0" w:color="auto"/>
        <w:right w:val="none" w:sz="0" w:space="0" w:color="auto"/>
      </w:divBdr>
    </w:div>
    <w:div w:id="801197354">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88998649">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1008410834">
      <w:bodyDiv w:val="1"/>
      <w:marLeft w:val="0"/>
      <w:marRight w:val="0"/>
      <w:marTop w:val="0"/>
      <w:marBottom w:val="0"/>
      <w:divBdr>
        <w:top w:val="none" w:sz="0" w:space="0" w:color="auto"/>
        <w:left w:val="none" w:sz="0" w:space="0" w:color="auto"/>
        <w:bottom w:val="none" w:sz="0" w:space="0" w:color="auto"/>
        <w:right w:val="none" w:sz="0" w:space="0" w:color="auto"/>
      </w:divBdr>
    </w:div>
    <w:div w:id="1028799380">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41996537">
      <w:bodyDiv w:val="1"/>
      <w:marLeft w:val="0"/>
      <w:marRight w:val="0"/>
      <w:marTop w:val="0"/>
      <w:marBottom w:val="0"/>
      <w:divBdr>
        <w:top w:val="none" w:sz="0" w:space="0" w:color="auto"/>
        <w:left w:val="none" w:sz="0" w:space="0" w:color="auto"/>
        <w:bottom w:val="none" w:sz="0" w:space="0" w:color="auto"/>
        <w:right w:val="none" w:sz="0" w:space="0" w:color="auto"/>
      </w:divBdr>
    </w:div>
    <w:div w:id="1162769100">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82689635">
      <w:bodyDiv w:val="1"/>
      <w:marLeft w:val="0"/>
      <w:marRight w:val="0"/>
      <w:marTop w:val="0"/>
      <w:marBottom w:val="0"/>
      <w:divBdr>
        <w:top w:val="none" w:sz="0" w:space="0" w:color="auto"/>
        <w:left w:val="none" w:sz="0" w:space="0" w:color="auto"/>
        <w:bottom w:val="none" w:sz="0" w:space="0" w:color="auto"/>
        <w:right w:val="none" w:sz="0" w:space="0" w:color="auto"/>
      </w:divBdr>
    </w:div>
    <w:div w:id="1293247636">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63096328">
      <w:bodyDiv w:val="1"/>
      <w:marLeft w:val="0"/>
      <w:marRight w:val="0"/>
      <w:marTop w:val="0"/>
      <w:marBottom w:val="0"/>
      <w:divBdr>
        <w:top w:val="none" w:sz="0" w:space="0" w:color="auto"/>
        <w:left w:val="none" w:sz="0" w:space="0" w:color="auto"/>
        <w:bottom w:val="none" w:sz="0" w:space="0" w:color="auto"/>
        <w:right w:val="none" w:sz="0" w:space="0" w:color="auto"/>
      </w:divBdr>
    </w:div>
    <w:div w:id="1379276142">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50003196">
      <w:bodyDiv w:val="1"/>
      <w:marLeft w:val="0"/>
      <w:marRight w:val="0"/>
      <w:marTop w:val="0"/>
      <w:marBottom w:val="0"/>
      <w:divBdr>
        <w:top w:val="none" w:sz="0" w:space="0" w:color="auto"/>
        <w:left w:val="none" w:sz="0" w:space="0" w:color="auto"/>
        <w:bottom w:val="none" w:sz="0" w:space="0" w:color="auto"/>
        <w:right w:val="none" w:sz="0" w:space="0" w:color="auto"/>
      </w:divBdr>
    </w:div>
    <w:div w:id="1493715102">
      <w:bodyDiv w:val="1"/>
      <w:marLeft w:val="0"/>
      <w:marRight w:val="0"/>
      <w:marTop w:val="0"/>
      <w:marBottom w:val="0"/>
      <w:divBdr>
        <w:top w:val="none" w:sz="0" w:space="0" w:color="auto"/>
        <w:left w:val="none" w:sz="0" w:space="0" w:color="auto"/>
        <w:bottom w:val="none" w:sz="0" w:space="0" w:color="auto"/>
        <w:right w:val="none" w:sz="0" w:space="0" w:color="auto"/>
      </w:divBdr>
    </w:div>
    <w:div w:id="1495877005">
      <w:bodyDiv w:val="1"/>
      <w:marLeft w:val="0"/>
      <w:marRight w:val="0"/>
      <w:marTop w:val="0"/>
      <w:marBottom w:val="0"/>
      <w:divBdr>
        <w:top w:val="none" w:sz="0" w:space="0" w:color="auto"/>
        <w:left w:val="none" w:sz="0" w:space="0" w:color="auto"/>
        <w:bottom w:val="none" w:sz="0" w:space="0" w:color="auto"/>
        <w:right w:val="none" w:sz="0" w:space="0" w:color="auto"/>
      </w:divBdr>
    </w:div>
    <w:div w:id="1578049486">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66935562">
      <w:bodyDiv w:val="1"/>
      <w:marLeft w:val="0"/>
      <w:marRight w:val="0"/>
      <w:marTop w:val="0"/>
      <w:marBottom w:val="0"/>
      <w:divBdr>
        <w:top w:val="none" w:sz="0" w:space="0" w:color="auto"/>
        <w:left w:val="none" w:sz="0" w:space="0" w:color="auto"/>
        <w:bottom w:val="none" w:sz="0" w:space="0" w:color="auto"/>
        <w:right w:val="none" w:sz="0" w:space="0" w:color="auto"/>
      </w:divBdr>
    </w:div>
    <w:div w:id="1672831776">
      <w:bodyDiv w:val="1"/>
      <w:marLeft w:val="0"/>
      <w:marRight w:val="0"/>
      <w:marTop w:val="0"/>
      <w:marBottom w:val="0"/>
      <w:divBdr>
        <w:top w:val="none" w:sz="0" w:space="0" w:color="auto"/>
        <w:left w:val="none" w:sz="0" w:space="0" w:color="auto"/>
        <w:bottom w:val="none" w:sz="0" w:space="0" w:color="auto"/>
        <w:right w:val="none" w:sz="0" w:space="0" w:color="auto"/>
      </w:divBdr>
    </w:div>
    <w:div w:id="1675187402">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764300522">
      <w:bodyDiv w:val="1"/>
      <w:marLeft w:val="0"/>
      <w:marRight w:val="0"/>
      <w:marTop w:val="0"/>
      <w:marBottom w:val="0"/>
      <w:divBdr>
        <w:top w:val="none" w:sz="0" w:space="0" w:color="auto"/>
        <w:left w:val="none" w:sz="0" w:space="0" w:color="auto"/>
        <w:bottom w:val="none" w:sz="0" w:space="0" w:color="auto"/>
        <w:right w:val="none" w:sz="0" w:space="0" w:color="auto"/>
      </w:divBdr>
    </w:div>
    <w:div w:id="1836796335">
      <w:bodyDiv w:val="1"/>
      <w:marLeft w:val="0"/>
      <w:marRight w:val="0"/>
      <w:marTop w:val="0"/>
      <w:marBottom w:val="0"/>
      <w:divBdr>
        <w:top w:val="none" w:sz="0" w:space="0" w:color="auto"/>
        <w:left w:val="none" w:sz="0" w:space="0" w:color="auto"/>
        <w:bottom w:val="none" w:sz="0" w:space="0" w:color="auto"/>
        <w:right w:val="none" w:sz="0" w:space="0" w:color="auto"/>
      </w:divBdr>
    </w:div>
    <w:div w:id="1889605139">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 w:id="2055037698">
      <w:bodyDiv w:val="1"/>
      <w:marLeft w:val="0"/>
      <w:marRight w:val="0"/>
      <w:marTop w:val="0"/>
      <w:marBottom w:val="0"/>
      <w:divBdr>
        <w:top w:val="none" w:sz="0" w:space="0" w:color="auto"/>
        <w:left w:val="none" w:sz="0" w:space="0" w:color="auto"/>
        <w:bottom w:val="none" w:sz="0" w:space="0" w:color="auto"/>
        <w:right w:val="none" w:sz="0" w:space="0" w:color="auto"/>
      </w:divBdr>
    </w:div>
    <w:div w:id="2055301781">
      <w:bodyDiv w:val="1"/>
      <w:marLeft w:val="0"/>
      <w:marRight w:val="0"/>
      <w:marTop w:val="0"/>
      <w:marBottom w:val="0"/>
      <w:divBdr>
        <w:top w:val="none" w:sz="0" w:space="0" w:color="auto"/>
        <w:left w:val="none" w:sz="0" w:space="0" w:color="auto"/>
        <w:bottom w:val="none" w:sz="0" w:space="0" w:color="auto"/>
        <w:right w:val="none" w:sz="0" w:space="0" w:color="auto"/>
      </w:divBdr>
    </w:div>
    <w:div w:id="208479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5866-2355-4EBC-9ED6-8D636B05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E88DDA1C</Template>
  <TotalTime>24</TotalTime>
  <Pages>29</Pages>
  <Words>10258</Words>
  <Characters>54759</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64888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jthompson</cp:lastModifiedBy>
  <cp:revision>6</cp:revision>
  <cp:lastPrinted>2016-11-21T14:18:00Z</cp:lastPrinted>
  <dcterms:created xsi:type="dcterms:W3CDTF">2017-12-12T10:42:00Z</dcterms:created>
  <dcterms:modified xsi:type="dcterms:W3CDTF">2017-12-12T15:32:00Z</dcterms:modified>
</cp:coreProperties>
</file>